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320" w:type="dxa"/>
        <w:jc w:val="left"/>
        <w:tblInd w:w="54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0"/>
      </w:tblGrid>
      <w:tr>
        <w:trPr>
          <w:trHeight w:val="2427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к приказу Первого заместителя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Премьер-Министра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Республики Казахстан –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Министра финансов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sz w:val="28"/>
                <w:szCs w:val="28"/>
                <w:lang w:eastAsia="ru-RU"/>
              </w:rPr>
              <w:t>Республики Казахстан</w:t>
            </w:r>
          </w:p>
          <w:p>
            <w:pPr>
              <w:pStyle w:val="Normal"/>
              <w:ind w:left="250" w:hanging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 w:ascii="Calibri" w:hAnsi="Calibri"/>
                <w:sz w:val="28"/>
                <w:lang w:eastAsia="ru-RU"/>
              </w:rPr>
              <w:t>от 26 декабря 2019 года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Calibri" w:hAnsi="Calibri"/>
                <w:sz w:val="28"/>
                <w:lang w:eastAsia="ru-RU"/>
              </w:rPr>
              <w:t xml:space="preserve">№ </w:t>
            </w:r>
            <w:r>
              <w:rPr>
                <w:rFonts w:eastAsia="Times New Roman" w:cs="Times New Roman" w:ascii="Calibri" w:hAnsi="Calibri"/>
                <w:sz w:val="28"/>
                <w:lang w:eastAsia="ru-RU"/>
              </w:rPr>
              <w:t>1424</w:t>
            </w:r>
          </w:p>
        </w:tc>
      </w:tr>
      <w:tr>
        <w:trPr/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250" w:hanging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 w:ascii="Calibri" w:hAnsi="Calibri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hyperlink r:id="rId2">
        <w:r>
          <w:rPr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оформления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сопроводительных накладных на товары и их документооборот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Настоящие Правила </w:t>
      </w:r>
      <w:r>
        <w:rPr>
          <w:rFonts w:cs="Times New Roman" w:ascii="Times New Roman" w:hAnsi="Times New Roman"/>
          <w:color w:val="auto"/>
          <w:sz w:val="28"/>
          <w:szCs w:val="28"/>
        </w:rPr>
        <w:t>оформления</w:t>
      </w:r>
      <w:r>
        <w:rPr>
          <w:rFonts w:cs="Times New Roman"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сопроводительных накладных на товары и их документооборот</w:t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 (далее – Правила) разработаны в соответствии </w:t>
      </w:r>
      <w:r>
        <w:rPr>
          <w:rFonts w:ascii="Times New Roman" w:hAnsi="Times New Roman"/>
          <w:color w:val="auto"/>
          <w:sz w:val="28"/>
          <w:szCs w:val="28"/>
        </w:rPr>
        <w:t>с частью второй статьи 176</w:t>
      </w:r>
      <w:r>
        <w:rPr>
          <w:rStyle w:val="S3"/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Кодекса Республики Казахстан от 25 декабря </w:t>
        <w:br/>
        <w:t xml:space="preserve">2017 года «О налогах и других обязательных платежах в бюджет» </w:t>
        <w:br/>
        <w:t>(далее – Налоговый кодекс) и определяют порядок оформления сопроводительных накладных</w:t>
      </w:r>
      <w:r>
        <w:rPr>
          <w:rFonts w:ascii="Times New Roman" w:hAnsi="Times New Roman"/>
          <w:color w:val="auto"/>
          <w:sz w:val="28"/>
          <w:szCs w:val="28"/>
        </w:rPr>
        <w:t xml:space="preserve"> на товары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СН</w:t>
      </w:r>
      <w:r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cs="Times New Roman"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, предназначенных для контроля за движением товаров. 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СНТ для целей налогообложения, </w:t>
      </w:r>
      <w:r>
        <w:rPr>
          <w:rFonts w:cs="Times New Roman" w:ascii="Times New Roman" w:hAnsi="Times New Roman"/>
          <w:color w:val="auto"/>
          <w:sz w:val="28"/>
          <w:szCs w:val="28"/>
        </w:rPr>
        <w:t>а также налогового и таможенного администрирования является: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z13"/>
      <w:bookmarkEnd w:id="2"/>
      <w:r>
        <w:rPr>
          <w:rFonts w:cs="Times New Roman" w:ascii="Times New Roman" w:hAnsi="Times New Roman"/>
          <w:color w:val="auto"/>
          <w:sz w:val="28"/>
          <w:szCs w:val="28"/>
        </w:rPr>
        <w:tab/>
        <w:t>1) товаросопроводительным документом, в том числе подтверждающим отгрузку товаров налогоплательщику;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2) первичным бухгалтерским документом.</w:t>
      </w:r>
    </w:p>
    <w:p>
      <w:pPr>
        <w:pStyle w:val="Normal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bookmarkStart w:id="3" w:name="SUB200"/>
      <w:bookmarkStart w:id="4" w:name="z138"/>
      <w:bookmarkStart w:id="5" w:name="z25"/>
      <w:bookmarkStart w:id="6" w:name="z24"/>
      <w:bookmarkStart w:id="7" w:name="SUB10017"/>
      <w:bookmarkStart w:id="8" w:name="SUB200"/>
      <w:bookmarkStart w:id="9" w:name="z138"/>
      <w:bookmarkStart w:id="10" w:name="z25"/>
      <w:bookmarkStart w:id="11" w:name="z24"/>
      <w:bookmarkStart w:id="12" w:name="SUB10017"/>
      <w:bookmarkEnd w:id="8"/>
      <w:bookmarkEnd w:id="9"/>
      <w:bookmarkEnd w:id="10"/>
      <w:bookmarkEnd w:id="11"/>
      <w:bookmarkEnd w:id="12"/>
    </w:p>
    <w:p>
      <w:pPr>
        <w:pStyle w:val="Normal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2. Порядок оформления сопроводительных накладных на товары и их документооборот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СНТ оформляется поставщиком (при ввозе – получателем) по форме согласно приложению 1 к настоящим Правилам, посредством модуля «Виртуальный склад» (далее – ВС) информационной системы электронных счетов-фактур (далее – ИС ЭСФ) на государственном или русском языках, подписывается электронной цифровой подписью (далее – ЭЦП) в порядке, определенном для подписания электронных счетов-фактур и </w:t>
      </w:r>
      <w:r>
        <w:fldChar w:fldCharType="begin"/>
      </w:r>
      <w:r>
        <w:rPr>
          <w:sz w:val="28"/>
          <w:szCs w:val="28"/>
          <w:bCs/>
        </w:rPr>
        <w:instrText> HYPERLINK "http://www.adilet.zan.kz/rus/docs/Z030000370_" \l "z1"</w:instrText>
      </w:r>
      <w:r>
        <w:rPr>
          <w:sz w:val="28"/>
          <w:szCs w:val="28"/>
          <w:bCs/>
        </w:rPr>
        <w:fldChar w:fldCharType="separate"/>
      </w:r>
      <w:r>
        <w:rPr>
          <w:bCs/>
          <w:color w:val="auto"/>
          <w:sz w:val="28"/>
          <w:szCs w:val="28"/>
        </w:rPr>
        <w:t>Законом</w:t>
      </w:r>
      <w:r>
        <w:rPr>
          <w:sz w:val="28"/>
          <w:szCs w:val="28"/>
          <w:bCs/>
        </w:rPr>
        <w:fldChar w:fldCharType="end"/>
      </w:r>
      <w:r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СНТ оформляется в электронной форме, за исключением следующих случаев, когда налогоплательщик вправе оформить СНТ на бумажном носителе: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интернет-ресурсе </w:t>
      </w:r>
      <w:r>
        <w:rPr>
          <w:sz w:val="28"/>
          <w:szCs w:val="28"/>
        </w:rPr>
        <w:t xml:space="preserve"> Комитета государственных доходов Министерства финансов Республики Казахстан (далее – КГД МФ РК)</w:t>
      </w:r>
      <w:r>
        <w:rPr>
          <w:bCs/>
          <w:iCs/>
          <w:sz w:val="28"/>
          <w:szCs w:val="28"/>
        </w:rPr>
        <w:t>;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в случае подтверждения информации на интернет-ресурсе </w:t>
      </w:r>
      <w:r>
        <w:rPr>
          <w:sz w:val="28"/>
          <w:szCs w:val="28"/>
        </w:rPr>
        <w:t>КГД МФ РК</w:t>
      </w:r>
      <w:r>
        <w:rPr>
          <w:bCs/>
          <w:iCs/>
          <w:sz w:val="28"/>
          <w:szCs w:val="28"/>
        </w:rPr>
        <w:t xml:space="preserve"> о невозможности оформления СНТ в ИС ЭСФ по причине технических ошибок.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После устранения технических ошибок СНТ, оформленная на бумажном носителе, </w:t>
      </w:r>
      <w:r>
        <w:rPr>
          <w:sz w:val="28"/>
          <w:szCs w:val="28"/>
        </w:rPr>
        <w:t xml:space="preserve">поставщиком (при ввозе – получателем) </w:t>
      </w:r>
      <w:r>
        <w:rPr>
          <w:bCs/>
          <w:iCs/>
          <w:sz w:val="28"/>
          <w:szCs w:val="28"/>
        </w:rPr>
        <w:t>подлежит введению в ИС ЭСФ в течение трех календарных дней с даты устранения технических ошибок.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709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СНТ считается оформленной, если:</w:t>
      </w:r>
    </w:p>
    <w:p>
      <w:pPr>
        <w:pStyle w:val="NormalWeb"/>
        <w:numPr>
          <w:ilvl w:val="1"/>
          <w:numId w:val="1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такая СНТ соответствует требованиям,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подписи;</w:t>
      </w:r>
    </w:p>
    <w:p>
      <w:pPr>
        <w:pStyle w:val="NormalWeb"/>
        <w:numPr>
          <w:ilvl w:val="1"/>
          <w:numId w:val="1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такой СНТ присвоен регистрационный номер в ИС ЭСФ.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товарам, подлежащим маркировке, СНТ, оформленная и зарегистрированная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 в целях передачи прав собственности на маркируемый товар, передается для регистрации в ИС ЭСФ в целях исполнения налогового обязательства по оформлению СНТ.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Интеграционное взаимодействие внешних </w:t>
      </w:r>
      <w:r>
        <w:rPr>
          <w:rFonts w:ascii="Times New Roman" w:hAnsi="Times New Roman"/>
          <w:color w:val="auto"/>
          <w:sz w:val="28"/>
          <w:szCs w:val="24"/>
        </w:rPr>
        <w:t xml:space="preserve">учетных систем налогоплательщиков с модулем «Виртуальный склад» ИС ЭСФ осуществляется посредством API-механизмов, </w:t>
      </w:r>
      <w:r>
        <w:rPr>
          <w:rFonts w:cs="Times New Roman" w:ascii="Times New Roman" w:hAnsi="Times New Roman"/>
          <w:color w:val="auto"/>
          <w:sz w:val="28"/>
          <w:szCs w:val="28"/>
        </w:rPr>
        <w:t>позволяющих внешним учетным системам выполнять в ИС ЭСФ все операции, предусмотренные бизнес-процессами в Web-приложении, путем интеграции ИС ЭСФ с учетными системами участников ИС ЭСФ.</w:t>
      </w:r>
    </w:p>
    <w:p>
      <w:pPr>
        <w:pStyle w:val="NormalWeb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Информационный обмен между </w:t>
      </w: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>информационной системой,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</w:t>
      </w:r>
      <w:r>
        <w:rPr>
          <w:rFonts w:ascii="Times New Roman" w:hAnsi="Times New Roman"/>
          <w:color w:val="auto"/>
          <w:sz w:val="28"/>
          <w:szCs w:val="28"/>
        </w:rPr>
        <w:t xml:space="preserve"> и ИС ЭСФ осуществляется с использованием технологии </w:t>
        <w:br/>
        <w:t>веб-сервисов шлюза электронного Правительства.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Оригиналом (подлинником) СНТ является электронный документ, содержащийся в ИС ЭСФ.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печатной форме СНТ отражаются заполненные поставщиком реквизиты.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Отдельные поля СНТ не подлежат заполнению, если в техническом описании структуры СНТ такие поля имеют признаки: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1134" w:leader="none"/>
        </w:tabs>
        <w:ind w:left="928" w:hanging="21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«необязательное поле»;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«условно-обязательное поле» и условия по обязательности заполнения не наступают.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описание структуры СНТ публикуется на интернет-ресурсе государственного органа, осуществляющего руководство в сфере обеспечения поступлений налогов и платежей в бюджет, и учитывается при приеме и обработке СНТ в ИС ЭСФ.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подлежит оформлению: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перемещении, реализации и (или) отгрузке товаров по территории Республики Казахстан;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ввозе товаров на территорию Республики Казахстан с территории государств, не являющихся членами Евразийского экономического союза (далее – </w:t>
      </w:r>
      <w:r>
        <w:rPr>
          <w:bCs/>
          <w:sz w:val="28"/>
          <w:szCs w:val="28"/>
        </w:rPr>
        <w:t>ЕАЭС)</w:t>
      </w:r>
      <w:r>
        <w:rPr>
          <w:color w:val="auto"/>
          <w:sz w:val="28"/>
          <w:szCs w:val="28"/>
        </w:rPr>
        <w:t xml:space="preserve">, и государств-членов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 xml:space="preserve">, и государств-членов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Обязательство по оформлению СНТ возникает в следующие сроки: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перемещении, реализации и (или) отгрузке товаров по территории Республики Казахстан – не позднее дня начала перемещения, реализации и (или) отгрузки товаров;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709" w:leader="none"/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ввозе товаров на территорию Республики Казахстан:</w:t>
      </w:r>
    </w:p>
    <w:p>
      <w:pPr>
        <w:pStyle w:val="Normal"/>
        <w:tabs>
          <w:tab w:val="clear" w:pos="708"/>
          <w:tab w:val="left" w:pos="-709" w:leader="none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территории государств, не являющихся членами </w:t>
      </w:r>
      <w:r>
        <w:rPr>
          <w:bCs/>
          <w:sz w:val="28"/>
          <w:szCs w:val="28"/>
        </w:rPr>
        <w:t>ЕАЭС</w:t>
      </w:r>
      <w:r>
        <w:rPr>
          <w:sz w:val="28"/>
          <w:szCs w:val="28"/>
        </w:rPr>
        <w:t xml:space="preserve"> – не позднее дня, следующего за днем выпуска товаров в свободное обращение;</w:t>
      </w:r>
    </w:p>
    <w:p>
      <w:pPr>
        <w:pStyle w:val="Normal"/>
        <w:tabs>
          <w:tab w:val="clear" w:pos="708"/>
          <w:tab w:val="left" w:pos="-1843" w:leader="none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территории государств-членов </w:t>
      </w:r>
      <w:r>
        <w:rPr>
          <w:bCs/>
          <w:sz w:val="28"/>
          <w:szCs w:val="28"/>
        </w:rPr>
        <w:t xml:space="preserve">ЕАЭС </w:t>
      </w:r>
      <w:r>
        <w:rPr>
          <w:sz w:val="28"/>
          <w:szCs w:val="28"/>
        </w:rPr>
        <w:t>– не позднее дня, предшествующего дню пересечения Государственной границы Республики Казахстан;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>
        <w:rPr>
          <w:bCs/>
          <w:sz w:val="28"/>
          <w:szCs w:val="28"/>
        </w:rPr>
        <w:t>ЕАЭС</w:t>
      </w:r>
      <w:r>
        <w:rPr>
          <w:sz w:val="28"/>
          <w:szCs w:val="28"/>
        </w:rPr>
        <w:t xml:space="preserve"> и государств-членов </w:t>
      </w:r>
      <w:r>
        <w:rPr>
          <w:bCs/>
          <w:sz w:val="28"/>
          <w:szCs w:val="28"/>
        </w:rPr>
        <w:t xml:space="preserve">ЕАЭС </w:t>
      </w:r>
      <w:r>
        <w:rPr>
          <w:sz w:val="28"/>
          <w:szCs w:val="28"/>
        </w:rPr>
        <w:t>– не позднее дня начала перемещения, реализации и (или) отгрузки товаров.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>
        <w:rPr>
          <w:color w:val="auto"/>
          <w:sz w:val="28"/>
          <w:szCs w:val="28"/>
        </w:rPr>
        <w:t>ри перемещении товаров по территории Республики Казахстан, а также при вывозе за пределы Республики Казахстан</w:t>
      </w:r>
      <w:r>
        <w:rPr>
          <w:rFonts w:eastAsia="Calibri"/>
          <w:color w:val="auto"/>
          <w:sz w:val="28"/>
          <w:szCs w:val="28"/>
          <w:lang w:eastAsia="en-US"/>
        </w:rPr>
        <w:t xml:space="preserve"> СНТ оформляется в национальной валюте Республики Казахстан, за исключением следующих случаев, при которых возможно оформить в иностранной валюте: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>1) по сделкам (операциям) по реализации товаров, заключенным (совершенным) в рамках соглашения (контракта) о разделе продукции;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2) по сделкам (операциям) по реализации товаров на экспорт, облагаемым по нулевой ставке налога на добавленную стоимость (далее – НДС) в соответствии со </w:t>
      </w:r>
      <w:r>
        <w:fldChar w:fldCharType="begin"/>
      </w:r>
      <w:r>
        <w:rPr>
          <w:sz w:val="28"/>
          <w:spacing w:val="0"/>
          <w:szCs w:val="28"/>
          <w:rFonts w:eastAsia="Calibri"/>
        </w:rPr>
        <w:instrText> HYPERLINK "http://adilet.zan.kz/rus/docs/K080000099_" \l "z2789"</w:instrText>
      </w:r>
      <w:r>
        <w:rPr>
          <w:sz w:val="28"/>
          <w:spacing w:val="0"/>
          <w:szCs w:val="28"/>
          <w:rFonts w:eastAsia="Calibri"/>
        </w:rPr>
        <w:fldChar w:fldCharType="separate"/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статьями 386</w:t>
      </w:r>
      <w:r>
        <w:rPr>
          <w:sz w:val="28"/>
          <w:spacing w:val="0"/>
          <w:szCs w:val="28"/>
          <w:rFonts w:eastAsia="Calibri"/>
        </w:rPr>
        <w:fldChar w:fldCharType="end"/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, 446 и 449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Налогового кодекса</w:t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>;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3) по оборотам по реализации, облагаемым по нулевой ставке НДС, в соответствии с </w:t>
      </w:r>
      <w:r>
        <w:fldChar w:fldCharType="begin"/>
      </w:r>
      <w:r>
        <w:rPr>
          <w:sz w:val="28"/>
          <w:spacing w:val="0"/>
          <w:szCs w:val="28"/>
          <w:rFonts w:eastAsia="Calibri"/>
        </w:rPr>
        <w:instrText> HYPERLINK "http://adilet.zan.kz/rus/docs/K080000099_" \l "z4608"</w:instrText>
      </w:r>
      <w:r>
        <w:rPr>
          <w:sz w:val="28"/>
          <w:spacing w:val="0"/>
          <w:szCs w:val="28"/>
          <w:rFonts w:eastAsia="Calibri"/>
        </w:rPr>
        <w:fldChar w:fldCharType="separate"/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пунктом 3</w:t>
      </w:r>
      <w:r>
        <w:rPr>
          <w:sz w:val="28"/>
          <w:spacing w:val="0"/>
          <w:szCs w:val="28"/>
          <w:rFonts w:eastAsia="Calibri"/>
        </w:rPr>
        <w:fldChar w:fldCharType="end"/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 статьи 393 Налогового кодекса.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При ввозе товаров на территорию Республики Казахстан СНТ выписывается в национальной валюте или в валюте, указанной в счет – фактуре (и</w:t>
      </w:r>
      <w:r>
        <w:rPr>
          <w:color w:val="auto"/>
          <w:sz w:val="28"/>
          <w:szCs w:val="28"/>
          <w:lang w:val="kk-KZ"/>
        </w:rPr>
        <w:t>нвойсе)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Получатель СНТ обязан в течение двадцати календарных дней после даты регистрации СНТ в ИС ЭСФ представить посредством ИС ЭСФ подтвержденную или отклоненную СНТ, подписанную ЭЦП в порядке, определенном для подписания электронных счетов-фактур и </w:t>
      </w:r>
      <w:r>
        <w:fldChar w:fldCharType="begin"/>
      </w:r>
      <w:r>
        <w:rPr>
          <w:sz w:val="28"/>
          <w:szCs w:val="28"/>
          <w:bCs/>
        </w:rPr>
        <w:instrText> HYPERLINK "http://www.adilet.zan.kz/rus/docs/Z030000370_" \l "z1"</w:instrText>
      </w:r>
      <w:r>
        <w:rPr>
          <w:sz w:val="28"/>
          <w:szCs w:val="28"/>
          <w:bCs/>
        </w:rPr>
        <w:fldChar w:fldCharType="separate"/>
      </w:r>
      <w:r>
        <w:rPr>
          <w:bCs/>
          <w:color w:val="auto"/>
          <w:sz w:val="28"/>
          <w:szCs w:val="28"/>
        </w:rPr>
        <w:t>Законом</w:t>
      </w:r>
      <w:r>
        <w:rPr>
          <w:sz w:val="28"/>
          <w:szCs w:val="28"/>
          <w:bCs/>
        </w:rPr>
        <w:fldChar w:fldCharType="end"/>
      </w:r>
      <w:r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В случае непредставления либо несвоевременного представления СНТ получатель несет административную ответственность в соответствии с законодательством Республики Казахстан.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Подтверждение СНТ получателем не требуется в следующих случаях: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  <w:lang w:eastAsia="en-US"/>
        </w:rPr>
        <w:t>при реализации товаров на экспорт;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  <w:lang w:eastAsia="en-US"/>
        </w:rPr>
        <w:t>при реализации товаров физическому лицу, не являющемуся индивидуальным предпринимателем.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нарушения сроков отклонения или подтверждения получения СНТ в ИС ЭСФ формируется извещение «О нарушении сроков подтверждения (неподтверждения) получения или отклонения сопроводительной накладной на товары» (далее – Извещение) по форме согласно </w:t>
      </w:r>
      <w:hyperlink r:id="rId3">
        <w:r>
          <w:rPr>
            <w:color w:val="auto"/>
            <w:sz w:val="28"/>
            <w:szCs w:val="28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 настоящим Правилам.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Получение Извещения, а также ознакомление с ним не освобождает получателя от подтверждения или отклонения получения СНТ.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может содержать сведения товаро-транспортной накладной, которые заполняются поставщиком по желанию.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СНТ, оформленная с указанием неполных и (или) недостоверных данных, подлежит аннулированию или отзыву поставщиком (при импорте – получателем) в течение пяти рабочих дней после даты оформления такой СНТ, в случае, если такая СНТ не подтверждена или не отклонена получателем.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необходимости внесения изменений и (или) дополнений в ранее оформленную СНТ, исправления ошибок, не влекущих замену поставщика и (или) получателя товаров, оформляется исправленная СНТ с аннулированием ранее оформленной СНТ.</w:t>
      </w:r>
    </w:p>
    <w:p>
      <w:pPr>
        <w:pStyle w:val="ListParagraph"/>
        <w:tabs>
          <w:tab w:val="clear" w:pos="708"/>
          <w:tab w:val="left" w:pos="709" w:leader="none"/>
          <w:tab w:val="left" w:pos="1134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может быть отозвана без оформления новой СНТ.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Налогоплательщик, по реализованным товарам за день, вправе производить оформление СНТ не позднее дня, следующего за днем реализации, без указания идентификационного номера получателя товаров, расчеты за которые осуществлены:</w:t>
      </w:r>
    </w:p>
    <w:p>
      <w:pPr>
        <w:pStyle w:val="NormalWeb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0"/>
          <w:sz w:val="28"/>
          <w:szCs w:val="28"/>
        </w:rPr>
        <w:t xml:space="preserve">наличными деньгами с представлением покупателю чека </w:t>
        <w:br/>
        <w:t>контрольно-кассовой машины и (или) через терминалы оплаты услуг;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применением оборудования (устройства), предназначенного для осуществления платежей с использованием платежных карточек.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необходимости подтверждения, отклонения или аннулирования сопроводительных накладных </w:t>
      </w:r>
      <w:r>
        <w:rPr>
          <w:color w:val="auto"/>
          <w:sz w:val="28"/>
          <w:szCs w:val="28"/>
          <w:lang w:val="kk-KZ"/>
        </w:rPr>
        <w:t xml:space="preserve">на </w:t>
      </w:r>
      <w:r>
        <w:rPr>
          <w:color w:val="auto"/>
          <w:sz w:val="28"/>
          <w:szCs w:val="28"/>
        </w:rPr>
        <w:t>биотоплив</w:t>
      </w:r>
      <w:r>
        <w:rPr>
          <w:color w:val="auto"/>
          <w:sz w:val="28"/>
          <w:szCs w:val="28"/>
          <w:lang w:val="kk-KZ"/>
        </w:rPr>
        <w:t>о</w:t>
      </w:r>
      <w:r>
        <w:rPr>
          <w:color w:val="auto"/>
          <w:sz w:val="28"/>
          <w:szCs w:val="28"/>
        </w:rPr>
        <w:t xml:space="preserve"> до 1 января 2020 года и на этиловый спирт и (или) алкогольную продукцию, нефтепродукты, табачные изделия (далее – СН), оформленных до 1 апреля 2020 года в ИС ЭСФ оформляется новая СНТ. Новая СНТ оформляется по данным из ранее выписанных СН, затем осуществляется процедура подтверждения, отклонения или аннулирования СНТ.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b/>
          <w:b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СНТ, зарегистрированные в ИС ЭСФ, хранятся в ИС ЭСФ </w:t>
      </w:r>
      <w:r>
        <w:rPr>
          <w:color w:val="auto"/>
          <w:sz w:val="28"/>
          <w:szCs w:val="28"/>
        </w:rPr>
        <w:t xml:space="preserve">в течение </w:t>
        <w:br/>
        <w:t>5 лет.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kk-KZ"/>
        </w:rPr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kk-KZ"/>
        </w:rPr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Порядок заполнения сопроводительных накладных на товары 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А «Общий раздел» указываются следующие данные: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регистрационный номер СНТ учетной системы – порядковый номер СНТ, который присваивается в налоговом учете налогоплательщика и определяется поставщиком товаров самостоятельно;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выписки – заполняется автоматически ИС ЭСФ и соответствует текущей календарно</w:t>
      </w:r>
      <w:r>
        <w:rPr>
          <w:color w:val="auto"/>
          <w:sz w:val="28"/>
          <w:szCs w:val="28"/>
          <w:lang w:val="kk-KZ"/>
        </w:rPr>
        <w:t xml:space="preserve">й </w:t>
      </w:r>
      <w:r>
        <w:rPr>
          <w:color w:val="auto"/>
          <w:sz w:val="28"/>
          <w:szCs w:val="28"/>
        </w:rPr>
        <w:t>дате;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отгрузки товара – заполняется вручную, должна быть равна или больше текущей даты;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товаро-транспортная накладная – указывается дата и номер накладной;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исправление СНТ – указывается регистрационный номер исправляемой СНТ в ИС ЭСФ. Заполняется в случае выписки СНТ взамен аннулированной;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возврат товара, ранее принятого по СНТ – ставится отметка в случае возврата товара. Указывается регистрационный номер СНТ в ИС ЭСФ, ранее выписанной поставщиком </w:t>
      </w:r>
      <w:r>
        <w:rPr>
          <w:sz w:val="28"/>
          <w:szCs w:val="28"/>
        </w:rPr>
        <w:t xml:space="preserve">(при импорте </w:t>
      </w: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получателем)</w:t>
      </w:r>
      <w:r>
        <w:rPr>
          <w:color w:val="auto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ввоз товара на территорию Республики Казахстан – при необходимости ставится соответствующая отметка  в ячейке: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«импорт;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«реимпорт»;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«ввоз на переработку»;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«временный ввоз»;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«ввоз временно вывезенного товара»;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«планируемая дата (в формате дата, месяц, год) ввоза товара» –заполняется при пересечении товара через государственную границу Республики Казахстан;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«планируемый пункт пропуска» – заполняется при пересечении товара через государственную границу Республики Казахстан.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  <w:tab w:val="left" w:pos="709" w:leader="none"/>
          <w:tab w:val="left" w:pos="1134" w:leader="none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вывоз товаров с территории Республики Казахстан – при необходимости ставится соответствующая отметка  в ячейке: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«экспорт»;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«реэкспорт»;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«вывоз на переработку»;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«временный вывоз»;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«вывоз временно ввезенного товара»;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«планируемая дата (в формате дата, месяц, год) вывоза товара» – заполняется при пересечении товара через государственную границу Республики Казахстан;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«планируемый пункт пропуска» – заполняется при пересечении товара через государственную границу Республики Казахстан;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перемещение товаров – при необходимости ставится соответствующая отметка в ячейке: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 пределах одного лица на территории Республике Казахстан»;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 пределах одного лица в рамках ЕАЭС»;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подакцизные товары, мазут, авиационное топливо, биотопливо (за исключением цифровой маркировки) – при необходимости ставится соответствующая отметка  в ячейке: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«этиловый спирт»;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«виноматериал»;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«пиво и пивные напитки»;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«алкогольная продукция (кроме пива и пивного напитка)»;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«отдельные виды нефтепродуктов»;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«биотопливо»;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«табачные изделия»;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товары, подлежащие экспортному контролю (двойного назначения, военного назначения) – отметка ставится, в случае осуществления операций с товарами, подлежащими экспортному контролю (двойного назначения, военного назначения);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цифровая маркировка – ставится соответствующая отметка в ячейке: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«табачные изделия»;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  <w:tab w:val="left" w:pos="993" w:leader="none"/>
        </w:tabs>
        <w:ind w:left="709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«другие товары»;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СНТ в ИС ЭСФ – заполняется автоматически ИС ЭСФ при регистрации документа в ИС ЭСФ. Не предназначено для заполнения и (или) редактирования участником ИС ЭСФ;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 СНТ в ИС ЭСФ. Данное поле заполняется автоматически ИС ЭСФ и соответствует текущему времени оформления;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СНТ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Казахстан.</w:t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В «Реквизиты поставщика» указываются следующие данные:</w:t>
      </w:r>
    </w:p>
    <w:p>
      <w:pPr>
        <w:pStyle w:val="Normal"/>
        <w:tabs>
          <w:tab w:val="clear" w:pos="708"/>
          <w:tab w:val="left" w:pos="-426" w:leader="none"/>
          <w:tab w:val="left" w:pos="709" w:leader="none"/>
          <w:tab w:val="left" w:pos="1134" w:leader="none"/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индивидуальный идентификационный номер (далее – ИИН) или бизнес-идентификационный номер (далее – БИН) – вводится поставщиком, при импорте вводится получателем. Если поставщик (отправитель) товаров является нерезидентом, то отмечается ячейка «нерезидент»;</w:t>
      </w:r>
      <w:r>
        <w:rPr>
          <w:sz w:val="28"/>
          <w:szCs w:val="28"/>
          <w:lang w:val="kk-KZ"/>
        </w:rPr>
        <w:t xml:space="preserve"> 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поставщика (отправителя);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БИН структурного подразделения;</w:t>
      </w:r>
    </w:p>
    <w:p>
      <w:pPr>
        <w:pStyle w:val="Normal"/>
        <w:tabs>
          <w:tab w:val="clear" w:pos="708"/>
          <w:tab w:val="left" w:pos="-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БИН реорганизованного лица;</w:t>
      </w:r>
    </w:p>
    <w:p>
      <w:pPr>
        <w:pStyle w:val="Normal"/>
        <w:tabs>
          <w:tab w:val="clear" w:pos="708"/>
          <w:tab w:val="left" w:pos="-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категория поставщика;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код страны регистрации поставщика – указывается буквенный код страны поставщика (отправителя) товаров в соответствии с Классификатором стран мира согласно приложению 22, утвержденным </w:t>
      </w:r>
      <w:r>
        <w:rPr>
          <w:bCs/>
          <w:sz w:val="28"/>
          <w:szCs w:val="28"/>
        </w:rPr>
        <w:t xml:space="preserve">Решением Комиссии Таможенного союза от  20 сентября 2010 года № 378 «О классификаторах, используемых для заполнения таможенных деклараций» </w:t>
        <w:br/>
        <w:t xml:space="preserve">(далее – </w:t>
      </w:r>
      <w:r>
        <w:rPr>
          <w:sz w:val="28"/>
          <w:szCs w:val="28"/>
        </w:rPr>
        <w:t xml:space="preserve">приложение  22 </w:t>
      </w:r>
      <w:r>
        <w:rPr>
          <w:bCs/>
          <w:sz w:val="28"/>
          <w:szCs w:val="28"/>
        </w:rPr>
        <w:t xml:space="preserve">Классификатора); 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sz w:val="28"/>
          <w:szCs w:val="28"/>
        </w:rPr>
        <w:t>код страны отправки (отгрузки) – указывается буквенный код страны поставщика (отправителя) товаров в соответствии с приложением 22 Классификатора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фактический адрес отправки (отгрузки). При обороте этилового спирта и алкогольной продукции не заполняется;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идентификационный номер (ID)</w:t>
      </w:r>
      <w:r>
        <w:rPr/>
        <w:t xml:space="preserve"> </w:t>
      </w:r>
      <w:r>
        <w:rPr>
          <w:sz w:val="28"/>
          <w:szCs w:val="28"/>
        </w:rPr>
        <w:t>склада отправки (отгрузки). При импорте товаров данные не заполняются;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дополнительные сведения.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С «Реквизиты получателя» указываются следующие данные: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-426" w:leader="none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ИИН/БИН. Если получатель товаров является нерезидентом, то отмечается ячейка «нерезидент»;</w:t>
      </w:r>
      <w:r>
        <w:rPr>
          <w:color w:val="auto"/>
          <w:sz w:val="28"/>
          <w:szCs w:val="28"/>
          <w:lang w:val="kk-KZ"/>
        </w:rPr>
        <w:t xml:space="preserve"> 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получателя;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БИН структурного подразделения;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БИН реорганизованного лица;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категория получателя;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код страны регистрации получателя – указывается буквенный код страны получателя товаров в соответствии с приложением 22 Классификатора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sz w:val="28"/>
          <w:szCs w:val="28"/>
        </w:rPr>
        <w:t>код страны доставки (поставки) – указывается буквенный код страны получателя товаров в соответствии с приложением 22 Классификатора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-426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фактический адрес доставки (поставки). При обороте этилового спирта и алкогольной продукции не заполняется;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9) </w:t>
      </w:r>
      <w:r>
        <w:rPr>
          <w:rFonts w:ascii="Times New Roman" w:hAnsi="Times New Roman"/>
          <w:color w:val="auto"/>
          <w:sz w:val="28"/>
          <w:szCs w:val="28"/>
        </w:rPr>
        <w:t>идентификационный номер (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>ID</w:t>
      </w:r>
      <w:r>
        <w:rPr>
          <w:rFonts w:cs="Times New Roman" w:ascii="Times New Roman" w:hAnsi="Times New Roman"/>
          <w:color w:val="auto"/>
          <w:sz w:val="28"/>
          <w:szCs w:val="28"/>
        </w:rPr>
        <w:t>) склада доставки (поставки);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10) </w:t>
      </w:r>
      <w:r>
        <w:rPr>
          <w:rFonts w:ascii="Times New Roman" w:hAnsi="Times New Roman"/>
          <w:color w:val="auto"/>
          <w:sz w:val="28"/>
          <w:szCs w:val="28"/>
        </w:rPr>
        <w:t>дополнительные сведения.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D «Реквизиты грузоотправителя и грузополучателя» указываются следующие данные: </w:t>
        <w:tab/>
      </w:r>
    </w:p>
    <w:p>
      <w:pPr>
        <w:pStyle w:val="Normal"/>
        <w:tabs>
          <w:tab w:val="clear" w:pos="708"/>
          <w:tab w:val="left" w:pos="-1701" w:leader="none"/>
          <w:tab w:val="left" w:pos="-426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«Грузоотправитель»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лицо, от имени которого оформляется отправка груза: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1701" w:leader="none"/>
          <w:tab w:val="left" w:pos="-426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ИИН/БИН. Если грузоотправитель является нерезидентом, то отмечается ячейка «нерезидент»;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1701" w:leader="none"/>
          <w:tab w:val="left" w:pos="-426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грузоотправителя;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1701" w:leader="none"/>
          <w:tab w:val="left" w:pos="-426" w:leader="none"/>
          <w:tab w:val="left" w:pos="1134" w:leader="none"/>
        </w:tabs>
        <w:ind w:left="0" w:firstLine="709"/>
        <w:jc w:val="both"/>
        <w:rPr>
          <w:rStyle w:val="S1"/>
          <w:b w:val="false"/>
          <w:b w:val="false"/>
          <w:bCs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код страны отправки – указывается </w:t>
      </w:r>
      <w:r>
        <w:rPr>
          <w:rStyle w:val="S0"/>
          <w:color w:val="auto"/>
          <w:sz w:val="28"/>
          <w:szCs w:val="28"/>
        </w:rPr>
        <w:t xml:space="preserve">буквенный код страны грузоотправителя согласно </w:t>
      </w:r>
      <w:r>
        <w:rPr>
          <w:color w:val="auto"/>
          <w:sz w:val="28"/>
          <w:szCs w:val="28"/>
        </w:rPr>
        <w:t xml:space="preserve">приложению  22 </w:t>
      </w:r>
      <w:r>
        <w:rPr>
          <w:rStyle w:val="S0"/>
          <w:color w:val="auto"/>
          <w:sz w:val="28"/>
          <w:szCs w:val="28"/>
        </w:rPr>
        <w:t>Классификатора</w:t>
      </w:r>
      <w:r>
        <w:rPr>
          <w:rStyle w:val="S1"/>
          <w:color w:val="auto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-1701" w:leader="none"/>
          <w:tab w:val="left" w:pos="-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«Грузополучатель»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лицо, уполномоченное на получение груза на основании договора или на иных законных основаниях: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-1701" w:leader="none"/>
          <w:tab w:val="left" w:pos="-426" w:leader="none"/>
          <w:tab w:val="left" w:pos="1134" w:leader="none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ИИН/БИН. Если грузополучатель является нерезидентом, то отмечается ячейка «нерезидент»;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-1701" w:leader="none"/>
          <w:tab w:val="left" w:pos="-426" w:leader="none"/>
          <w:tab w:val="left" w:pos="1134" w:leader="none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грузополучателя;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Style w:val="S1"/>
          <w:rFonts w:ascii="Times New Roman" w:hAnsi="Times New Roman" w:eastAsia="Calibri" w:cs="Times New Roman"/>
          <w:b w:val="false"/>
          <w:b w:val="false"/>
          <w:color w:val="auto"/>
          <w:spacing w:val="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код страны доставки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указывается </w:t>
      </w:r>
      <w:r>
        <w:rPr>
          <w:rStyle w:val="S0"/>
          <w:color w:val="auto"/>
          <w:sz w:val="28"/>
          <w:szCs w:val="28"/>
        </w:rPr>
        <w:t xml:space="preserve">буквенный код страны грузополучателя согласно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приложению  22 </w:t>
      </w:r>
      <w:r>
        <w:rPr>
          <w:rStyle w:val="S0"/>
          <w:color w:val="auto"/>
          <w:sz w:val="28"/>
          <w:szCs w:val="28"/>
        </w:rPr>
        <w:t>Классификатора</w:t>
      </w:r>
      <w:r>
        <w:rPr>
          <w:rStyle w:val="S1"/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D1 «Дополнительные сведения» – указываются следующие данные: </w:t>
      </w:r>
    </w:p>
    <w:p>
      <w:pPr>
        <w:pStyle w:val="NormalWeb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дополнительные сведения грузоотправителя; </w:t>
      </w:r>
    </w:p>
    <w:p>
      <w:pPr>
        <w:pStyle w:val="NormalWeb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дополнительные сведения грузополучателя.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Е «Сведения по перевозке» – указываются следующие данные</w:t>
      </w:r>
      <w:r>
        <w:rPr>
          <w:color w:val="auto"/>
          <w:sz w:val="28"/>
          <w:szCs w:val="28"/>
          <w:lang w:val="kk-KZ"/>
        </w:rPr>
        <w:t>:</w:t>
      </w:r>
      <w:r>
        <w:rPr>
          <w:rFonts w:eastAsia="Calibri"/>
          <w:color w:val="auto"/>
          <w:sz w:val="28"/>
          <w:szCs w:val="28"/>
          <w:lang w:eastAsia="en-US"/>
        </w:rPr>
        <w:tab/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 xml:space="preserve">1) перевозчик. </w:t>
      </w:r>
      <w:r>
        <w:rPr>
          <w:rFonts w:cs="Times New Roman" w:ascii="Times New Roman" w:hAnsi="Times New Roman"/>
          <w:color w:val="auto"/>
          <w:sz w:val="28"/>
          <w:szCs w:val="28"/>
        </w:rPr>
        <w:t>Если перевозчик является нерезидентом, то отмечается ячейка «нерезидент»</w:t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; 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ab/>
        <w:t>2</w:t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>) ИИН/БИН;</w:t>
      </w:r>
      <w:r>
        <w:rPr>
          <w:rFonts w:cs="Times New Roman" w:ascii="Times New Roman" w:hAnsi="Times New Roman"/>
          <w:color w:val="auto"/>
          <w:sz w:val="28"/>
          <w:szCs w:val="28"/>
        </w:rPr>
        <w:tab/>
      </w:r>
    </w:p>
    <w:p>
      <w:pPr>
        <w:pStyle w:val="NormalWeb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ab/>
        <w:t xml:space="preserve">3) сведения о планируемом транспорте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указывается вид транспорта (выбирается из отображаемого списка).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В Разделе </w:t>
      </w:r>
      <w:r>
        <w:rPr>
          <w:rFonts w:eastAsia="Calibri"/>
          <w:color w:val="auto"/>
          <w:sz w:val="28"/>
          <w:szCs w:val="28"/>
          <w:lang w:val="en-US" w:eastAsia="en-US"/>
        </w:rPr>
        <w:t>F</w:t>
      </w:r>
      <w:r>
        <w:rPr>
          <w:rFonts w:eastAsia="Calibri"/>
          <w:color w:val="auto"/>
          <w:sz w:val="28"/>
          <w:szCs w:val="28"/>
          <w:lang w:eastAsia="en-US"/>
        </w:rPr>
        <w:t xml:space="preserve"> «Договор (контракт) на поставку товара» </w:t>
      </w:r>
      <w:r>
        <w:rPr>
          <w:color w:val="auto"/>
          <w:sz w:val="28"/>
          <w:szCs w:val="28"/>
        </w:rPr>
        <w:t>– указываются следующие данные</w:t>
      </w:r>
      <w:r>
        <w:rPr>
          <w:rFonts w:eastAsia="Calibri"/>
          <w:color w:val="auto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договор (контракт) или приложение к договору. При необходимости ставится отметка и заполняются строки «Номер», в которой указывается номер договора (контракта) или приложение к договору на поставку товаров, и  «Дата», в которой указывается дата (в формате дата, месяц, год) договора (контракта) или приложение к договору на поставку товаров;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без договора (контракта) – в случаях отсутствия договора (контракта);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условия оплаты по договору – указываются условия оплаты согласно договору (контракту) на поставку товаров;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условия поставки (Инкотермс) – указывается трехзначный буквенный код заглавными буквами, латинским шрифтом в соответствии с </w:t>
        <w:br/>
        <w:t>приложением 13 Классификатора, для международных операций в соответствии с обычаями, в том числе обычаями делового оборота (Инкотермс)).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  <w:lang w:val="en-US"/>
        </w:rPr>
        <w:t>F</w:t>
      </w:r>
      <w:r>
        <w:rPr>
          <w:color w:val="auto"/>
          <w:sz w:val="28"/>
          <w:szCs w:val="28"/>
        </w:rPr>
        <w:t>1 «Договор (контракт) в рамках УСД/СРП» указываются следующие данные:</w:t>
      </w:r>
    </w:p>
    <w:p>
      <w:pPr>
        <w:pStyle w:val="Normal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«Поставщика»: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134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(указывается номер договора/контракта);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дата (в формате дата, месяц, год) договора/контракта;</w:t>
      </w:r>
    </w:p>
    <w:p>
      <w:pPr>
        <w:pStyle w:val="Normal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«Получателя»:</w:t>
      </w:r>
    </w:p>
    <w:p>
      <w:pPr>
        <w:pStyle w:val="Normal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1) номер (указывается номер договора/контракта);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(в формате дата, месяц, год) договора/контракта;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«Код валюты» – выбирается из справочника;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«Курс валюты» – указывается курс валюты на дату оформления СНТ.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 «Данные по товарам» указываются следующие данные: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признак происхождения товара 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3) наименование товаров;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 код товара (ТН ВЭД ЕАЭС) – указывается код Товарной номенклатуры внешнеэкономической деятельности Евразийского экономического союза (далее – ТН ВЭД ЕАЭС);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единица измерения;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 количество (объем);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цена товара за единицу измерения по договору (контракту) без учета НДС и акциза;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  <w:tab w:val="left" w:pos="1276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общая стоимость товара с косвенными налогами – 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идентификатор товара в ИС ЭСФ;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6, 8, 10, 11, 12, 14 и 15.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разделе «</w:t>
      </w:r>
      <w:r>
        <w:rPr>
          <w:rFonts w:eastAsia="Calibri"/>
          <w:color w:val="auto"/>
          <w:sz w:val="28"/>
          <w:szCs w:val="28"/>
          <w:lang w:eastAsia="en-US"/>
        </w:rPr>
        <w:t>Данные по алкогольной продукции» указываются следующие сведения:</w:t>
      </w:r>
    </w:p>
    <w:p>
      <w:pPr>
        <w:pStyle w:val="NormalWeb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 xml:space="preserve">номер лицензии поставщика </w:t>
      </w:r>
      <w:r>
        <w:rPr>
          <w:rFonts w:cs="Times New Roman" w:ascii="Times New Roman" w:hAnsi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>
      <w:pPr>
        <w:pStyle w:val="NormalWeb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ab/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адрес поставщика по лицензии </w:t>
      </w:r>
      <w:r>
        <w:rPr>
          <w:rFonts w:cs="Times New Roman" w:ascii="Times New Roman" w:hAnsi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>
      <w:pPr>
        <w:pStyle w:val="NormalWeb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 xml:space="preserve">номер лицензии получателя </w:t>
      </w:r>
      <w:r>
        <w:rPr>
          <w:rFonts w:cs="Times New Roman" w:ascii="Times New Roman" w:hAnsi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ab/>
      </w: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 xml:space="preserve">адрес получателя по лицензии </w:t>
      </w:r>
      <w:r>
        <w:rPr>
          <w:rFonts w:cs="Times New Roman" w:ascii="Times New Roman" w:hAnsi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G2 «Этиловый спирт»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 ИС ЭСФ);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3) ПИН-код (персональный идентификационный код (</w:t>
      </w:r>
      <w:r>
        <w:rPr>
          <w:sz w:val="28"/>
          <w:szCs w:val="28"/>
        </w:rPr>
        <w:t xml:space="preserve">далее – </w:t>
      </w:r>
      <w:r>
        <w:rPr>
          <w:rStyle w:val="S0"/>
          <w:sz w:val="28"/>
          <w:szCs w:val="28"/>
        </w:rPr>
        <w:t>ПИН-код) выбирается из справочника ПИН-кодов)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вид, наименование этилового спирта;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>оличество (в 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цена за литр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в тенге, при импорте указывается по </w:t>
        <w:br/>
        <w:t>счету-фактуре (инвойсу), при их отсутствии по документу, подтверждающему совершение внешнеэкономической сделки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указывается </w:t>
      </w:r>
      <w:r>
        <w:rPr>
          <w:bCs/>
          <w:sz w:val="28"/>
          <w:szCs w:val="28"/>
        </w:rPr>
        <w:t>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крепость (% - процентное </w:t>
      </w:r>
      <w:r>
        <w:rPr>
          <w:sz w:val="28"/>
          <w:szCs w:val="28"/>
        </w:rPr>
        <w:t>содержание спирта)</w:t>
      </w:r>
      <w:r>
        <w:rPr>
          <w:rStyle w:val="S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 идентификатор товара в ИС ЭСФ;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6, 8, 11, 12, 13, 15 и 16.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G3 «Виноматериал» указывается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bCs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вид, наименование виноматериала;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>оличество (в 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7) цена за литр</w:t>
      </w:r>
      <w:r>
        <w:rPr>
          <w:sz w:val="28"/>
          <w:szCs w:val="28"/>
        </w:rPr>
        <w:t xml:space="preserve"> – указывается в тенге, при импорте указывается по </w:t>
        <w:br/>
        <w:t>счету-фактуре (инвойсу), при их отсутствии по документу, подтверждающему совершение внешнеэкономической сделки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общая стоимость товара с косвенными налогами </w:t>
      </w:r>
      <w:r>
        <w:rPr>
          <w:sz w:val="28"/>
          <w:szCs w:val="28"/>
        </w:rPr>
        <w:t xml:space="preserve">– указывается </w:t>
      </w:r>
      <w:r>
        <w:rPr>
          <w:bCs/>
          <w:sz w:val="28"/>
          <w:szCs w:val="28"/>
        </w:rPr>
        <w:t>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идентификатор товара в ИС ЭСФ;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строке «Всего» указывается общая сумма строк по графам 6, 8, 10, 11, 12, 14 и 15.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G4 «Пиво и пивные напитки» указываются следующие сведения: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3) наименование пива и пивных напитков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вид продукта;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>6) е</w:t>
      </w:r>
      <w:r>
        <w:rPr>
          <w:rStyle w:val="S0"/>
          <w:sz w:val="28"/>
          <w:szCs w:val="28"/>
        </w:rPr>
        <w:t>мкость тары (в 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rStyle w:val="S0"/>
          <w:sz w:val="28"/>
          <w:szCs w:val="28"/>
        </w:rPr>
        <w:t>оличество емкостей (бутылок, банок, кег, в штуках);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8) к</w:t>
      </w:r>
      <w:r>
        <w:rPr>
          <w:bCs/>
          <w:sz w:val="28"/>
          <w:szCs w:val="28"/>
        </w:rPr>
        <w:t>оличество (в 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</w:t>
      </w:r>
      <w:r>
        <w:rPr>
          <w:sz w:val="28"/>
          <w:szCs w:val="28"/>
        </w:rPr>
        <w:t>цена одной емкости, бутылки, банки, кег-бочки для пива и пивного напитка (указывается в тенге)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 идентификатор товара в ИС ЭСФ;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8, 10, 12, 13, 14, 16 и 17.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G5 «Алкогольная продукция (кроме пива и пивного напитка)» указываются следующие сведения: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признак происхождения товара 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н</w:t>
      </w:r>
      <w:r>
        <w:rPr>
          <w:bCs/>
          <w:sz w:val="28"/>
          <w:szCs w:val="28"/>
        </w:rPr>
        <w:t>аименование товаров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6) вид продукции (проставляется автоматически ИС ЭСФ при введении ПИН-кода);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>7) е</w:t>
      </w:r>
      <w:r>
        <w:rPr>
          <w:rStyle w:val="S0"/>
          <w:sz w:val="28"/>
          <w:szCs w:val="28"/>
        </w:rPr>
        <w:t>мкость тары (в литрах) (</w:t>
      </w:r>
      <w:r>
        <w:rPr>
          <w:sz w:val="28"/>
          <w:szCs w:val="28"/>
        </w:rPr>
        <w:t>проставляется автоматически ИС ЭСФ при введении ПИН-кода)</w:t>
      </w:r>
      <w:r>
        <w:rPr>
          <w:rStyle w:val="S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8) к</w:t>
      </w:r>
      <w:r>
        <w:rPr>
          <w:bCs/>
          <w:sz w:val="28"/>
          <w:szCs w:val="28"/>
        </w:rPr>
        <w:t>оличество (бутылок);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цена указывается </w:t>
      </w:r>
      <w:r>
        <w:rPr>
          <w:sz w:val="28"/>
          <w:szCs w:val="28"/>
        </w:rPr>
        <w:t>в тенге одной бутылки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крепость (% - процентное </w:t>
      </w:r>
      <w:r>
        <w:rPr>
          <w:sz w:val="28"/>
          <w:szCs w:val="28"/>
        </w:rPr>
        <w:t>содержание спирта)</w:t>
      </w:r>
      <w:r>
        <w:rPr>
          <w:rStyle w:val="S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дополнительного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15, 16, 17, 19 и 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G6 «Данные по нефтепродуктам»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органа государственных доходов (далее – ОГД) адреса отправки (отгрузки);</w:t>
      </w:r>
    </w:p>
    <w:p>
      <w:pPr>
        <w:pStyle w:val="Normal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код ОГД адреса доставки (поставки);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в</w:t>
      </w:r>
      <w:r>
        <w:rPr>
          <w:bCs/>
          <w:sz w:val="28"/>
          <w:szCs w:val="28"/>
        </w:rPr>
        <w:t xml:space="preserve">ид, марка нефтепродукта </w:t>
      </w:r>
      <w:r>
        <w:rPr>
          <w:sz w:val="28"/>
          <w:szCs w:val="28"/>
        </w:rPr>
        <w:t>проставляется автоматически ИС ЭСФ при введении ПИН-кода;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ab/>
        <w:t>6) количество продукции в е</w:t>
      </w:r>
      <w:r>
        <w:rPr>
          <w:rStyle w:val="S0"/>
          <w:sz w:val="28"/>
          <w:szCs w:val="28"/>
        </w:rPr>
        <w:t>мкости (в тоннах);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bCs/>
          <w:sz w:val="28"/>
          <w:szCs w:val="28"/>
        </w:rPr>
        <w:t xml:space="preserve">оличество емкостей (в штуках) </w:t>
      </w:r>
      <w:r>
        <w:rPr>
          <w:sz w:val="28"/>
          <w:szCs w:val="28"/>
        </w:rPr>
        <w:t>(поле необязательно для заполнения при перемещении нефтепродукта по трубопроводу);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тоннах);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цена товара за тонну;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10, 12, 13, 14, 16 и 17.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G7 «Данные по биотопливу»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ОГД адреса отправки (отгрузки);</w:t>
      </w:r>
    </w:p>
    <w:p>
      <w:pPr>
        <w:pStyle w:val="Normal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код ОГД адреса доставки (поставки);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</w:t>
      </w:r>
      <w:r>
        <w:rPr>
          <w:sz w:val="28"/>
          <w:szCs w:val="28"/>
        </w:rPr>
        <w:t>) н</w:t>
      </w:r>
      <w:r>
        <w:rPr>
          <w:bCs/>
          <w:sz w:val="28"/>
          <w:szCs w:val="28"/>
        </w:rPr>
        <w:t>аименование биотоплива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ab/>
        <w:t>5) к</w:t>
      </w:r>
      <w:r>
        <w:rPr>
          <w:bCs/>
          <w:sz w:val="28"/>
          <w:szCs w:val="28"/>
        </w:rPr>
        <w:t>оличество</w:t>
      </w:r>
      <w:r>
        <w:rPr>
          <w:sz w:val="28"/>
          <w:szCs w:val="28"/>
        </w:rPr>
        <w:t xml:space="preserve"> продукции в е</w:t>
      </w:r>
      <w:r>
        <w:rPr>
          <w:rStyle w:val="S0"/>
          <w:sz w:val="28"/>
          <w:szCs w:val="28"/>
        </w:rPr>
        <w:t>мкости (в тоннах)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 xml:space="preserve">оличество емкостей (в штуках) </w:t>
      </w:r>
      <w:r>
        <w:rPr>
          <w:sz w:val="28"/>
          <w:szCs w:val="28"/>
        </w:rPr>
        <w:t>(поле необязательно для заполнения при перемещении биотоплива по трубопроводу);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тоннах);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8) цена товара</w:t>
      </w:r>
      <w:r>
        <w:rPr>
          <w:sz w:val="28"/>
          <w:szCs w:val="28"/>
        </w:rPr>
        <w:t xml:space="preserve"> за тонну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7, 9, 11, 12, 13, 15 и 16.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G8 «Данные по табачной продукции (исключая цифровую маркировку)»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ОГД адреса отправки (отгрузки);</w:t>
      </w:r>
    </w:p>
    <w:p>
      <w:pPr>
        <w:pStyle w:val="Normal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код ОГД адреса доставки (поставки);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</w:t>
      </w:r>
      <w:r>
        <w:rPr>
          <w:sz w:val="28"/>
          <w:szCs w:val="28"/>
        </w:rPr>
        <w:t xml:space="preserve">) </w:t>
      </w:r>
      <w:r>
        <w:rPr>
          <w:rStyle w:val="S0"/>
          <w:sz w:val="28"/>
          <w:szCs w:val="28"/>
        </w:rPr>
        <w:t>ПИН-код (выбирается из справочника ПИН-кодов)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н</w:t>
      </w:r>
      <w:r>
        <w:rPr>
          <w:bCs/>
          <w:sz w:val="28"/>
          <w:szCs w:val="28"/>
        </w:rPr>
        <w:t>аименование табачной продукции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ab/>
        <w:t>6) единица измерения (штуки, килограммы, миллилитры);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bCs/>
          <w:sz w:val="28"/>
          <w:szCs w:val="28"/>
        </w:rPr>
        <w:t xml:space="preserve">оличество табачного изделия в пачке (в штуках, килограммах, миллилитрах) </w:t>
      </w:r>
      <w:r>
        <w:rPr>
          <w:sz w:val="28"/>
          <w:szCs w:val="28"/>
        </w:rPr>
        <w:t>(автоматически проставляется ИС ЭСФ при вводе ПИН-кода);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пачек (в штуках);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количество (в штуках, килограммах, миллилитрах);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sz w:val="28"/>
          <w:szCs w:val="28"/>
        </w:rPr>
        <w:t>– указывается в валюте договора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дополнительного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21)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14, 15, 16, 18 и 19.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G9 «Данные по табачным изделиям (цифровая маркировка)» указываются следующие данные: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ab/>
        <w:t xml:space="preserve">тип </w:t>
      </w:r>
      <w:r>
        <w:rPr>
          <w:rStyle w:val="S0"/>
          <w:sz w:val="28"/>
          <w:szCs w:val="28"/>
        </w:rPr>
        <w:t>средства идентификации, где указывается: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 xml:space="preserve">1 – в случае, если товар промаркирован кодом </w:t>
      </w:r>
      <w:r>
        <w:rPr>
          <w:rStyle w:val="S0"/>
          <w:sz w:val="28"/>
          <w:szCs w:val="28"/>
          <w:lang w:val="en-US"/>
        </w:rPr>
        <w:t>Data</w:t>
      </w:r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en-US"/>
        </w:rPr>
        <w:t>Matrix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ab/>
        <w:t xml:space="preserve">2 – в случае,  если товар </w:t>
      </w:r>
      <w:r>
        <w:rPr>
          <w:rStyle w:val="S0"/>
          <w:sz w:val="28"/>
          <w:szCs w:val="28"/>
        </w:rPr>
        <w:t>промаркирован</w:t>
      </w:r>
      <w:r>
        <w:rPr>
          <w:sz w:val="28"/>
          <w:szCs w:val="28"/>
        </w:rPr>
        <w:t xml:space="preserve"> линейным кодом </w:t>
      </w:r>
      <w:r>
        <w:rPr>
          <w:rStyle w:val="S0"/>
          <w:sz w:val="28"/>
          <w:szCs w:val="28"/>
        </w:rPr>
        <w:t>GS1-128;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  <w:tab/>
        <w:t xml:space="preserve">3 – в случае,  если товар промаркирован </w:t>
      </w:r>
      <w:r>
        <w:rPr>
          <w:rStyle w:val="S0"/>
          <w:sz w:val="28"/>
          <w:szCs w:val="28"/>
          <w:lang w:val="en-US"/>
        </w:rPr>
        <w:t>RFID</w:t>
      </w:r>
      <w:r>
        <w:rPr>
          <w:rStyle w:val="S0"/>
          <w:sz w:val="28"/>
          <w:szCs w:val="28"/>
        </w:rPr>
        <w:t xml:space="preserve"> меткой;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Style w:val="S0"/>
          <w:color w:val="auto"/>
          <w:sz w:val="28"/>
          <w:szCs w:val="28"/>
        </w:rPr>
        <w:tab/>
      </w:r>
      <w:r>
        <w:rPr>
          <w:rStyle w:val="S0"/>
          <w:rFonts w:eastAsia="Calibri"/>
          <w:color w:val="auto"/>
          <w:spacing w:val="0"/>
          <w:sz w:val="28"/>
          <w:szCs w:val="28"/>
          <w:lang w:eastAsia="en-US"/>
        </w:rPr>
        <w:t>4 – в</w:t>
      </w:r>
      <w:r>
        <w:rPr>
          <w:rStyle w:val="S0"/>
          <w:color w:val="auto"/>
          <w:sz w:val="28"/>
          <w:szCs w:val="28"/>
        </w:rPr>
        <w:t xml:space="preserve"> случае, если товар промаркирован другими средствами идентификации, не указанными в настоящем подпункте;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bCs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</w:t>
      </w:r>
      <w:r>
        <w:rPr>
          <w:sz w:val="28"/>
          <w:szCs w:val="28"/>
        </w:rPr>
        <w:t>) тип упаковки;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код маркировки</w:t>
      </w:r>
      <w:r>
        <w:rPr>
          <w:rStyle w:val="S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н</w:t>
      </w:r>
      <w:r>
        <w:rPr>
          <w:bCs/>
          <w:sz w:val="28"/>
          <w:szCs w:val="28"/>
        </w:rPr>
        <w:t>аименование табачной продукции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6)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ab/>
        <w:t>7) к</w:t>
      </w:r>
      <w:r>
        <w:rPr>
          <w:bCs/>
          <w:sz w:val="28"/>
          <w:szCs w:val="28"/>
        </w:rPr>
        <w:t>оличество табачного изделия в штуках (паллеты, короба, блоки, пачки, сигареты</w:t>
      </w:r>
      <w:r>
        <w:rPr>
          <w:sz w:val="28"/>
          <w:szCs w:val="28"/>
        </w:rPr>
        <w:t>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пачек (в штуках);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количество (в килограммах);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10) количество (в миллилитрах);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11) цена за единицу товара (</w:t>
      </w:r>
      <w:r>
        <w:rPr>
          <w:sz w:val="28"/>
          <w:szCs w:val="28"/>
        </w:rPr>
        <w:t>указывается в валюте договора)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12) стоимость товара без косвенных налогов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дополнительного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ставка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сумма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общая стоимость товара с косвенными налогами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10, 12, 15, 16, 17, 19 и 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G10 «Данные по другим товарам (цифровая маркировка)»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bCs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тип средства идентификации;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4) </w:t>
      </w:r>
      <w:r>
        <w:rPr>
          <w:rStyle w:val="S0"/>
          <w:sz w:val="28"/>
          <w:szCs w:val="28"/>
        </w:rPr>
        <w:t>тип упаковки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5) код маркировки;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6) н</w:t>
      </w:r>
      <w:r>
        <w:rPr>
          <w:bCs/>
          <w:sz w:val="28"/>
          <w:szCs w:val="28"/>
        </w:rPr>
        <w:t>аименование товара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7)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ab/>
        <w:t>8) единица измерения;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(объем);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rStyle w:val="S0"/>
          <w:sz w:val="28"/>
          <w:szCs w:val="28"/>
        </w:rPr>
        <w:t xml:space="preserve">– </w:t>
      </w:r>
      <w:r>
        <w:rPr>
          <w:sz w:val="28"/>
          <w:szCs w:val="28"/>
        </w:rPr>
        <w:t>указывается в валюте договора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сумма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ставка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сумма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общая стоимость товара с косвенными налогами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G11 «Данные по товарам, подлежащим экспортному контролю (двойного назначения, военного назначения)»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bCs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ab/>
        <w:t>3</w:t>
      </w:r>
      <w:r>
        <w:rPr>
          <w:sz w:val="28"/>
          <w:szCs w:val="28"/>
        </w:rPr>
        <w:t>) н</w:t>
      </w:r>
      <w:r>
        <w:rPr>
          <w:bCs/>
          <w:sz w:val="28"/>
          <w:szCs w:val="28"/>
        </w:rPr>
        <w:t>аименование товара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4) номер документа (лицензии/разрешения);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5) дата выдачи (лицензии/разрешения);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6) дата окончания (срок окончания лицензии/разрешения);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7) код товара (ТН ВЭД ЕАЭС);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ab/>
        <w:t>8) единица измерения;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(объем);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sz w:val="28"/>
          <w:szCs w:val="28"/>
        </w:rPr>
        <w:t>– указывается в валюте договора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оборота по реализации (облагаемый/необлагаемый оборот).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двадцатизначный регистрационный номер декларации на товары, </w:t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>
      <w:pPr>
        <w:pStyle w:val="Normal"/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 идентификатор товара в ИС ЭСФ;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разделе </w:t>
      </w:r>
      <w:r>
        <w:rPr>
          <w:bCs/>
          <w:color w:val="auto"/>
          <w:sz w:val="28"/>
          <w:szCs w:val="28"/>
          <w:lang w:val="en-US"/>
        </w:rPr>
        <w:t>L</w:t>
      </w:r>
      <w:r>
        <w:rPr>
          <w:bCs/>
          <w:color w:val="auto"/>
          <w:sz w:val="28"/>
          <w:szCs w:val="28"/>
        </w:rPr>
        <w:t xml:space="preserve"> «Сведения по отпуску товара» указываются следующие данные: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1) отпуск товара произвел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фамилия, имя, отчество (при его наличии) лица, которое фактически произвело отпуск товара;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3) ЭЦП лица, уполномоченного подписывать СНТ;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4) фамилия, имя, отчество (при его наличии) лица, выписывающего СНТ;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5) отпуск товара осуществляется по доверенности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указывается номер и дата (в формате дата, месяц, год).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М</w:t>
      </w:r>
      <w:r>
        <w:rPr>
          <w:color w:val="auto"/>
          <w:sz w:val="28"/>
          <w:szCs w:val="28"/>
        </w:rPr>
        <w:t xml:space="preserve"> «Сведения о приемке товара» указываются следующие сведения:</w:t>
      </w:r>
    </w:p>
    <w:p>
      <w:pPr>
        <w:pStyle w:val="NormalWeb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1) прием/отклонение товара произвел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фамилия, имя, отчество (при его наличии) лица, которое фактически произвело прием/отклонение товара;</w:t>
      </w:r>
    </w:p>
    <w:p>
      <w:pPr>
        <w:pStyle w:val="NormalWeb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2) дата приема/отклонения товара (в формате дата, месяц, год);</w:t>
      </w:r>
    </w:p>
    <w:p>
      <w:pPr>
        <w:pStyle w:val="NormalWeb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3)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>
      <w:pPr>
        <w:pStyle w:val="NormalWeb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4) ЭЦП лица, уполномоченного подтверждать/отклонять СНТ;</w:t>
      </w:r>
    </w:p>
    <w:p>
      <w:pPr>
        <w:pStyle w:val="NormalWeb"/>
        <w:tabs>
          <w:tab w:val="clear" w:pos="708"/>
          <w:tab w:val="left" w:pos="426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5) фамилия, имя, отчество (при его наличии) лица, подтвердившего/отклонившего СНТ;</w:t>
      </w:r>
    </w:p>
    <w:p>
      <w:pPr>
        <w:pStyle w:val="NormalWeb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6) приемка товара осуществляется по доверенности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указывается номер и дата (в формате дата, месяц, год).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b/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</w:rPr>
        <w:t xml:space="preserve"> «Отметки ОГД» указываются следующие сведения:</w:t>
      </w:r>
      <w:r>
        <w:rPr>
          <w:b/>
          <w:color w:val="auto"/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color w:val="auto"/>
          <w:sz w:val="28"/>
          <w:szCs w:val="28"/>
        </w:rPr>
        <w:t>1) пункт автомобильного пропуска;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2) фамилия, имя, отчество (при его наличии) сотрудника ОГД;</w:t>
      </w:r>
    </w:p>
    <w:p>
      <w:pPr>
        <w:pStyle w:val="NormalWeb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3) дата пересечения государственной границы (в формате дата, месяц, год); </w:t>
      </w:r>
    </w:p>
    <w:p>
      <w:pPr>
        <w:pStyle w:val="NormalWeb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4) время пересечения государственной границы;</w:t>
      </w:r>
    </w:p>
    <w:p>
      <w:pPr>
        <w:pStyle w:val="NormalWeb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5) данные о фактическом транспорте:</w:t>
      </w:r>
    </w:p>
    <w:p>
      <w:pPr>
        <w:pStyle w:val="NormalWeb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auto"/>
          <w:sz w:val="28"/>
          <w:szCs w:val="28"/>
        </w:rPr>
        <w:t>марка автомобильного транспортного средства;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государственный номер автомобильного транспортного средства;</w:t>
      </w:r>
    </w:p>
    <w:p>
      <w:pPr>
        <w:pStyle w:val="NormalWeb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фамилия, имя, отчество (при его наличии) водителя;</w:t>
      </w:r>
    </w:p>
    <w:p>
      <w:pPr>
        <w:pStyle w:val="NormalWeb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ИИН водителя.</w:t>
      </w:r>
    </w:p>
    <w:p>
      <w:pPr>
        <w:sectPr>
          <w:headerReference w:type="default" r:id="rId4"/>
          <w:type w:val="nextPage"/>
          <w:pgSz w:w="11906" w:h="16838"/>
          <w:pgMar w:left="1418" w:right="851" w:header="709" w:top="1418" w:footer="0" w:bottom="1418" w:gutter="0"/>
          <w:pgNumType w:start="5" w:fmt="decimal"/>
          <w:formProt w:val="false"/>
          <w:textDirection w:val="lrTb"/>
          <w:docGrid w:type="default" w:linePitch="360" w:charSpace="0"/>
        </w:sectPr>
        <w:pStyle w:val="Normal"/>
        <w:ind w:left="6237" w:firstLine="425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</w:p>
    <w:p>
      <w:pPr>
        <w:pStyle w:val="Normal"/>
        <w:ind w:left="8222" w:hanging="0"/>
        <w:jc w:val="center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>
      <w:pPr>
        <w:pStyle w:val="Normal"/>
        <w:ind w:left="8222" w:hanging="0"/>
        <w:jc w:val="center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к Правилам оформления</w:t>
      </w:r>
      <w:r>
        <w:rPr>
          <w:color w:val="0D0D0D" w:themeColor="text1" w:themeTint="f2"/>
          <w:sz w:val="23"/>
          <w:szCs w:val="23"/>
          <w:lang w:val="kk-KZ"/>
        </w:rPr>
        <w:t xml:space="preserve"> </w:t>
      </w:r>
      <w:r>
        <w:rPr>
          <w:color w:val="0D0D0D" w:themeColor="text1" w:themeTint="f2"/>
          <w:sz w:val="23"/>
          <w:szCs w:val="23"/>
        </w:rPr>
        <w:t xml:space="preserve">сопроводительных накладных </w:t>
      </w:r>
    </w:p>
    <w:p>
      <w:pPr>
        <w:pStyle w:val="Normal"/>
        <w:ind w:left="8222" w:hanging="0"/>
        <w:jc w:val="center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на товары и их документооборот</w:t>
      </w:r>
    </w:p>
    <w:p>
      <w:pPr>
        <w:pStyle w:val="Normal"/>
        <w:ind w:left="8222" w:hanging="0"/>
        <w:jc w:val="center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  <w:lang w:val="kk-KZ"/>
        </w:rPr>
      </w:r>
    </w:p>
    <w:p>
      <w:pPr>
        <w:pStyle w:val="Normal"/>
        <w:ind w:firstLine="851"/>
        <w:jc w:val="right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форма</w:t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/>
        <w:drawing>
          <wp:inline distT="0" distB="0" distL="0" distR="0">
            <wp:extent cx="8891270" cy="392620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0" t="18192" r="2814" b="3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/>
        <w:drawing>
          <wp:inline distT="0" distB="0" distL="0" distR="0">
            <wp:extent cx="8867775" cy="459994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2" t="27942" r="3126" b="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/>
        <w:drawing>
          <wp:inline distT="0" distB="0" distL="0" distR="0">
            <wp:extent cx="8816340" cy="527812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87" t="18763" r="3333" b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/>
        <w:drawing>
          <wp:inline distT="0" distB="0" distL="0" distR="0">
            <wp:extent cx="9247505" cy="481076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</w:p>
    <w:p>
      <w:pPr>
        <w:sectPr>
          <w:headerReference w:type="default" r:id="rId9"/>
          <w:type w:val="nextPage"/>
          <w:pgSz w:orient="landscape" w:w="16838" w:h="11906"/>
          <w:pgMar w:left="1418" w:right="851" w:header="709" w:top="1418" w:footer="0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86" w:leader="none"/>
        </w:tabs>
        <w:ind w:left="6237" w:hanging="0"/>
        <w:jc w:val="center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>
      <w:pPr>
        <w:pStyle w:val="Normal"/>
        <w:ind w:left="6237" w:hang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 </w:t>
      </w:r>
      <w:hyperlink r:id="rId10">
        <w:r>
          <w:rPr>
            <w:b w:val="false"/>
            <w:color w:val="auto"/>
            <w:u w:val="none"/>
          </w:rPr>
          <w:t>Правила</w:t>
        </w:r>
      </w:hyperlink>
      <w:r>
        <w:rPr>
          <w:bCs/>
          <w:color w:val="000000" w:themeColor="text1"/>
        </w:rPr>
        <w:t>м</w:t>
      </w:r>
      <w:r>
        <w:rPr>
          <w:color w:val="000000" w:themeColor="text1"/>
        </w:rPr>
        <w:t xml:space="preserve"> оформления</w:t>
      </w:r>
    </w:p>
    <w:p>
      <w:pPr>
        <w:pStyle w:val="Normal"/>
        <w:ind w:left="6237" w:hanging="0"/>
        <w:jc w:val="center"/>
        <w:rPr>
          <w:color w:val="000000" w:themeColor="text1"/>
        </w:rPr>
      </w:pPr>
      <w:r>
        <w:rPr>
          <w:color w:val="000000" w:themeColor="text1"/>
        </w:rPr>
        <w:t>сопроводительных накладных</w:t>
      </w:r>
    </w:p>
    <w:p>
      <w:pPr>
        <w:pStyle w:val="Normal"/>
        <w:ind w:left="6237" w:hanging="0"/>
        <w:jc w:val="center"/>
        <w:rPr>
          <w:color w:val="000000" w:themeColor="text1"/>
        </w:rPr>
      </w:pPr>
      <w:r>
        <w:rPr>
          <w:color w:val="000000" w:themeColor="text1"/>
        </w:rPr>
        <w:t>на товары</w:t>
      </w:r>
      <w:r>
        <w:rPr/>
        <w:t xml:space="preserve"> и их документооборот</w:t>
      </w:r>
    </w:p>
    <w:p>
      <w:pPr>
        <w:pStyle w:val="Normal"/>
        <w:tabs>
          <w:tab w:val="clear" w:pos="708"/>
          <w:tab w:val="left" w:pos="3686" w:leader="none"/>
        </w:tabs>
        <w:ind w:left="5245" w:firstLine="851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3686" w:leader="none"/>
        </w:tabs>
        <w:ind w:left="5245" w:firstLine="851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>
      <w:pPr>
        <w:pStyle w:val="Normal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Извещение</w:t>
      </w:r>
    </w:p>
    <w:p>
      <w:pPr>
        <w:pStyle w:val="Normal"/>
        <w:jc w:val="center"/>
        <w:rPr>
          <w:color w:val="000000" w:themeColor="text1"/>
        </w:rPr>
      </w:pPr>
      <w:r>
        <w:rPr>
          <w:bCs/>
          <w:color w:val="000000" w:themeColor="text1"/>
        </w:rPr>
        <w:t>о нарушении сроков подтверждения (не подтверждения) получения</w:t>
        <w:br/>
        <w:t>или отклонения сопроводительной накладной</w:t>
        <w:br/>
        <w:t>на товары</w:t>
      </w:r>
    </w:p>
    <w:p>
      <w:pPr>
        <w:pStyle w:val="Normal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"/>
        <w:pBdr>
          <w:bottom w:val="single" w:sz="12" w:space="1" w:color="000000"/>
        </w:pBdr>
        <w:ind w:firstLine="851"/>
        <w:rPr>
          <w:color w:val="000000" w:themeColor="text1"/>
        </w:rPr>
      </w:pPr>
      <w:r>
        <w:rPr>
          <w:color w:val="000000" w:themeColor="text1"/>
        </w:rPr>
        <w:t>«____» ____________ 20__ года.</w:t>
      </w:r>
    </w:p>
    <w:p>
      <w:pPr>
        <w:pStyle w:val="Normal"/>
        <w:pBdr>
          <w:bottom w:val="single" w:sz="12" w:space="1" w:color="000000"/>
        </w:pBdr>
        <w:ind w:firstLine="851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органа государственных доходов)</w:t>
      </w:r>
    </w:p>
    <w:p>
      <w:pPr>
        <w:pStyle w:val="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 xml:space="preserve">В соответствии с </w:t>
      </w:r>
      <w:hyperlink r:id="rId11">
        <w:r>
          <w:rPr>
            <w:b w:val="false"/>
            <w:color w:val="auto"/>
            <w:u w:val="none"/>
          </w:rPr>
          <w:t>пунктом 16</w:t>
        </w:r>
      </w:hyperlink>
      <w:r>
        <w:rPr/>
        <w:t xml:space="preserve"> Правил </w:t>
      </w:r>
      <w:r>
        <w:rPr>
          <w:color w:val="000000" w:themeColor="text1"/>
        </w:rPr>
        <w:t>оформления</w:t>
      </w:r>
      <w:r>
        <w:rPr>
          <w:color w:val="000000" w:themeColor="text1"/>
          <w:lang w:val="kk-KZ"/>
        </w:rPr>
        <w:t xml:space="preserve"> </w:t>
      </w:r>
      <w:r>
        <w:rPr>
          <w:color w:val="000000" w:themeColor="text1"/>
        </w:rPr>
        <w:t>сопроводительных накладных на товары</w:t>
      </w:r>
      <w:r>
        <w:rPr/>
        <w:t xml:space="preserve"> и их документооборот, утвержденных приказом Первого заместителя </w:t>
        <w:br/>
        <w:t xml:space="preserve">Премьер-Министра Республики Казахстан – Министра финансов Республики Казахстан </w:t>
        <w:br/>
        <w:t>от «____» ____________ 2019 года № ___ уведомляет Вас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/>
        <w:t>(фамилия, имя, отчество (при его наличии) или наименование налогоплательщика)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Индивидуальный идентификационный номер/Бизнес-идентификационный номер _______________________________________________________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о не подтверждении получения или отклонения, подтверждение не в срок сопроводительной накладной на товары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_________________________________________________________________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_________________________________________________________________</w:t>
      </w:r>
    </w:p>
    <w:p>
      <w:pPr>
        <w:pStyle w:val="Normal"/>
        <w:ind w:firstLine="3531"/>
        <w:jc w:val="both"/>
        <w:rPr>
          <w:sz w:val="28"/>
          <w:szCs w:val="28"/>
        </w:rPr>
      </w:pPr>
      <w:r>
        <w:rPr/>
        <w:t>(номер и период представления)</w:t>
      </w:r>
    </w:p>
    <w:p>
      <w:pPr>
        <w:pStyle w:val="Normal"/>
        <w:ind w:firstLine="3531"/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/>
        <w:t>В связи с чем, Вам необходимо явиться в течение 5 рабочих дней в орган государственных доходов по месту регистрации для дачи пояснений.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0"/>
          <w:u w:val="single"/>
        </w:rPr>
        <w:t>Результаты согласования</w:t>
      </w:r>
    </w:p>
    <w:p>
      <w:pPr>
        <w:pStyle w:val="Normal"/>
        <w:rPr>
          <w:sz w:val="28"/>
          <w:szCs w:val="28"/>
        </w:rPr>
      </w:pPr>
      <w:r>
        <w:rPr>
          <w:sz w:val="20"/>
        </w:rPr>
        <w:t>Министерство финансов РК - Директор ДЮС Мурат Бухарбаевич Адилханов, 13.12.2019 17:36:35, положительный результат проверки ЭЦП</w:t>
      </w:r>
    </w:p>
    <w:p>
      <w:pPr>
        <w:pStyle w:val="Normal"/>
        <w:rPr>
          <w:sz w:val="28"/>
          <w:szCs w:val="28"/>
        </w:rPr>
      </w:pPr>
      <w:r>
        <w:rPr>
          <w:sz w:val="20"/>
        </w:rPr>
        <w:t>Министерство юстиции РК - Вице-министр Наталья Виссарионовна Пан, 26.12.2019 16:40:42, положительный результат проверки ЭЦП</w:t>
      </w:r>
    </w:p>
    <w:p>
      <w:pPr>
        <w:pStyle w:val="Normal"/>
        <w:rPr>
          <w:sz w:val="28"/>
          <w:szCs w:val="28"/>
        </w:rPr>
      </w:pPr>
      <w:r>
        <w:rPr>
          <w:sz w:val="20"/>
          <w:u w:val="single"/>
        </w:rPr>
        <w:t>Результаты подписания</w:t>
      </w:r>
    </w:p>
    <w:p>
      <w:pPr>
        <w:pStyle w:val="Normal"/>
        <w:rPr>
          <w:sz w:val="28"/>
          <w:szCs w:val="28"/>
        </w:rPr>
      </w:pPr>
      <w:r>
        <w:rPr>
          <w:sz w:val="20"/>
        </w:rPr>
        <w:t>Министерство финансов РК - Первый Заместитель Премьер-Министра Республики Казахстан-Министр финансов А. Смаилов, 26.12.2019 16:53:33, положительный результат проверки ЭЦП</w:t>
      </w:r>
    </w:p>
    <w:sectPr>
      <w:headerReference w:type="default" r:id="rId12"/>
      <w:footerReference w:type="default" r:id="rId13"/>
      <w:type w:val="nextPage"/>
      <w:pgSz w:w="11906" w:h="16838"/>
      <w:pgMar w:left="1418" w:right="85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Нормативтік құқықтық актілерді мемлекеттік тіркеудің тізіліміне №  болып енгізілді</w:t>
    </w:r>
  </w:p>
  <w:p>
    <w:pPr>
      <w:pStyle w:val="Normal"/>
      <w:rPr/>
    </w:pPr>
    <w:r>
      <w:rPr/>
    </w:r>
  </w:p>
  <w:p>
    <w:pPr>
      <w:pStyle w:val="Normal"/>
      <w:jc w:val="center"/>
      <w:rPr/>
    </w:pPr>
    <w:r>
      <w:rPr/>
      <w:t>ИС «ИПГО». Копия электронного документа. Дата  26.12.2019.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\* ARABIC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27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\* ARABIC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31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\* ARABIC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32</w:t>
    </w:r>
    <w:r>
      <w:rPr>
        <w:sz w:val="28"/>
        <w:szCs w:val="28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00" w:hanging="690"/>
      </w:pPr>
      <w:rPr>
        <w:dstrike w:val="false"/>
        <w:strike w:val="false"/>
        <w:sz w:val="28"/>
        <w:b w:val="false"/>
        <w:szCs w:val="28"/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6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9320f9"/>
    <w:pPr>
      <w:spacing w:lineRule="atLeast" w:line="450" w:before="330" w:after="45"/>
      <w:outlineLvl w:val="0"/>
    </w:pPr>
    <w:rPr>
      <w:rFonts w:ascii="Arial" w:hAnsi="Arial" w:cs="Arial"/>
      <w:color w:val="444444"/>
      <w:kern w:val="2"/>
      <w:sz w:val="42"/>
      <w:szCs w:val="4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320f9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320f9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366c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5"/>
    <w:uiPriority w:val="99"/>
    <w:semiHidden/>
    <w:qFormat/>
    <w:rsid w:val="009936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ма примечания Знак"/>
    <w:basedOn w:val="Style11"/>
    <w:link w:val="a7"/>
    <w:uiPriority w:val="99"/>
    <w:semiHidden/>
    <w:qFormat/>
    <w:rsid w:val="0099366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99366c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0f9"/>
    <w:rPr>
      <w:rFonts w:ascii="Arial" w:hAnsi="Arial" w:eastAsia="Times New Roman" w:cs="Arial"/>
      <w:color w:val="444444"/>
      <w:kern w:val="2"/>
      <w:sz w:val="42"/>
      <w:szCs w:val="4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320f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320f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0" w:customStyle="1">
    <w:name w:val="s0"/>
    <w:qFormat/>
    <w:rsid w:val="009320f9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effect w:val="none"/>
    </w:rPr>
  </w:style>
  <w:style w:type="character" w:styleId="S1" w:customStyle="1">
    <w:name w:val="s1"/>
    <w:qFormat/>
    <w:rsid w:val="009320f9"/>
    <w:rPr>
      <w:rFonts w:ascii="Courier New" w:hAnsi="Courier New" w:cs="Courier New"/>
      <w:b/>
      <w:bCs/>
      <w:i w:val="false"/>
      <w:iCs w:val="false"/>
      <w:strike w:val="false"/>
      <w:dstrike w:val="false"/>
      <w:color w:val="000000"/>
      <w:sz w:val="22"/>
      <w:szCs w:val="22"/>
      <w:u w:val="none"/>
      <w:effect w:val="none"/>
    </w:rPr>
  </w:style>
  <w:style w:type="character" w:styleId="S3" w:customStyle="1">
    <w:name w:val="s3"/>
    <w:qFormat/>
    <w:rsid w:val="009320f9"/>
    <w:rPr>
      <w:rFonts w:ascii="Courier New" w:hAnsi="Courier New" w:cs="Courier New"/>
      <w:b w:val="false"/>
      <w:bCs w:val="false"/>
      <w:i/>
      <w:iCs/>
      <w:strike w:val="false"/>
      <w:dstrike w:val="false"/>
      <w:color w:val="FF0000"/>
      <w:sz w:val="22"/>
      <w:szCs w:val="22"/>
      <w:u w:val="none"/>
      <w:effect w:val="none"/>
    </w:rPr>
  </w:style>
  <w:style w:type="character" w:styleId="S20" w:customStyle="1">
    <w:name w:val="s20"/>
    <w:basedOn w:val="DefaultParagraphFont"/>
    <w:qFormat/>
    <w:rsid w:val="009320f9"/>
    <w:rPr/>
  </w:style>
  <w:style w:type="character" w:styleId="Style14">
    <w:name w:val="Интернет-ссылка"/>
    <w:uiPriority w:val="99"/>
    <w:semiHidden/>
    <w:unhideWhenUsed/>
    <w:rsid w:val="009320f9"/>
    <w:rPr>
      <w:rFonts w:ascii="Times New Roman" w:hAnsi="Times New Roman" w:cs="Times New Roman"/>
      <w:b/>
      <w:bCs/>
      <w:i w:val="false"/>
      <w:iCs w:val="false"/>
      <w:color w:val="000080"/>
      <w:sz w:val="22"/>
      <w:szCs w:val="22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9320f9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f0"/>
    <w:uiPriority w:val="99"/>
    <w:qFormat/>
    <w:rsid w:val="009320f9"/>
    <w:rPr>
      <w:rFonts w:ascii="Calibri" w:hAnsi="Calibri" w:eastAsia="Calibri" w:cs="Times New Roman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9320f9"/>
    <w:rPr>
      <w:rFonts w:eastAsia="" w:eastAsiaTheme="minorEastAsia"/>
      <w:lang w:eastAsia="ru-RU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9320f9"/>
    <w:rPr>
      <w:color w:val="954F72"/>
      <w:u w:val="single"/>
    </w:rPr>
  </w:style>
  <w:style w:type="character" w:styleId="22" w:customStyle="1">
    <w:name w:val="Основной текст (2)_"/>
    <w:basedOn w:val="DefaultParagraphFont"/>
    <w:link w:val="22"/>
    <w:uiPriority w:val="99"/>
    <w:qFormat/>
    <w:locked/>
    <w:rsid w:val="009320f9"/>
    <w:rPr>
      <w:rFonts w:ascii="Times New Roman" w:hAnsi="Times New Roman" w:cs="Times New Roman"/>
      <w:b/>
      <w:bCs/>
      <w:sz w:val="26"/>
      <w:szCs w:val="26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99366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99366c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9366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0f9"/>
    <w:pPr>
      <w:spacing w:before="0" w:after="0"/>
      <w:ind w:left="720" w:hanging="0"/>
      <w:contextualSpacing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320f9"/>
    <w:pPr>
      <w:spacing w:lineRule="atLeast" w:line="285" w:before="0" w:after="360"/>
    </w:pPr>
    <w:rPr>
      <w:rFonts w:ascii="Arial" w:hAnsi="Arial" w:cs="Arial"/>
      <w:color w:val="666666"/>
      <w:spacing w:val="2"/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"/>
    <w:uiPriority w:val="99"/>
    <w:unhideWhenUsed/>
    <w:rsid w:val="009320f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Footer"/>
    <w:basedOn w:val="Normal"/>
    <w:link w:val="af1"/>
    <w:uiPriority w:val="99"/>
    <w:unhideWhenUsed/>
    <w:rsid w:val="009320f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link w:val="af3"/>
    <w:uiPriority w:val="1"/>
    <w:qFormat/>
    <w:rsid w:val="009320f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eastAsia="ru-RU" w:val="ru-RU" w:bidi="ar-SA"/>
    </w:rPr>
  </w:style>
  <w:style w:type="paragraph" w:styleId="Xl64" w:customStyle="1">
    <w:name w:val="xl64"/>
    <w:basedOn w:val="Normal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65" w:customStyle="1">
    <w:name w:val="xl65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66" w:customStyle="1">
    <w:name w:val="xl66"/>
    <w:basedOn w:val="Normal"/>
    <w:qFormat/>
    <w:rsid w:val="009320f9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67" w:customStyle="1">
    <w:name w:val="xl67"/>
    <w:basedOn w:val="Normal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68" w:customStyle="1">
    <w:name w:val="xl68"/>
    <w:basedOn w:val="Normal"/>
    <w:qFormat/>
    <w:rsid w:val="009320f9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69" w:customStyle="1">
    <w:name w:val="xl69"/>
    <w:basedOn w:val="Normal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70" w:customStyle="1">
    <w:name w:val="xl70"/>
    <w:basedOn w:val="Normal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71" w:customStyle="1">
    <w:name w:val="xl71"/>
    <w:basedOn w:val="Normal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72" w:customStyle="1">
    <w:name w:val="xl72"/>
    <w:basedOn w:val="Normal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73" w:customStyle="1">
    <w:name w:val="xl73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74" w:customStyle="1">
    <w:name w:val="xl74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75" w:customStyle="1">
    <w:name w:val="xl75"/>
    <w:basedOn w:val="Normal"/>
    <w:qFormat/>
    <w:rsid w:val="009320f9"/>
    <w:pP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76" w:customStyle="1">
    <w:name w:val="xl76"/>
    <w:basedOn w:val="Normal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77" w:customStyle="1">
    <w:name w:val="xl77"/>
    <w:basedOn w:val="Normal"/>
    <w:qFormat/>
    <w:rsid w:val="009320f9"/>
    <w:pPr>
      <w:pBdr>
        <w:top w:val="single" w:sz="8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78" w:customStyle="1">
    <w:name w:val="xl78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79" w:customStyle="1">
    <w:name w:val="xl79"/>
    <w:basedOn w:val="Normal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80" w:customStyle="1">
    <w:name w:val="xl80"/>
    <w:basedOn w:val="Normal"/>
    <w:qFormat/>
    <w:rsid w:val="009320f9"/>
    <w:pPr>
      <w:pBdr>
        <w:bottom w:val="single" w:sz="8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81" w:customStyle="1">
    <w:name w:val="xl81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82" w:customStyle="1">
    <w:name w:val="xl82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83" w:customStyle="1">
    <w:name w:val="xl83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84" w:customStyle="1">
    <w:name w:val="xl84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85" w:customStyle="1">
    <w:name w:val="xl85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86" w:customStyle="1">
    <w:name w:val="xl86"/>
    <w:basedOn w:val="Normal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87" w:customStyle="1">
    <w:name w:val="xl87"/>
    <w:basedOn w:val="Normal"/>
    <w:qFormat/>
    <w:rsid w:val="009320f9"/>
    <w:pPr>
      <w:pBdr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88" w:customStyle="1">
    <w:name w:val="xl88"/>
    <w:basedOn w:val="Normal"/>
    <w:qFormat/>
    <w:rsid w:val="009320f9"/>
    <w:pPr>
      <w:pBdr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89" w:customStyle="1">
    <w:name w:val="xl89"/>
    <w:basedOn w:val="Normal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styleId="Xl90" w:customStyle="1">
    <w:name w:val="xl90"/>
    <w:basedOn w:val="Normal"/>
    <w:qFormat/>
    <w:rsid w:val="009320f9"/>
    <w:pPr>
      <w:pBdr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91" w:customStyle="1">
    <w:name w:val="xl91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92" w:customStyle="1">
    <w:name w:val="xl92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93" w:customStyle="1">
    <w:name w:val="xl93"/>
    <w:basedOn w:val="Normal"/>
    <w:qFormat/>
    <w:rsid w:val="009320f9"/>
    <w:pPr>
      <w:pBdr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94" w:customStyle="1">
    <w:name w:val="xl94"/>
    <w:basedOn w:val="Normal"/>
    <w:qFormat/>
    <w:rsid w:val="009320f9"/>
    <w:pPr>
      <w:pBdr>
        <w:top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95" w:customStyle="1">
    <w:name w:val="xl95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96" w:customStyle="1">
    <w:name w:val="xl96"/>
    <w:basedOn w:val="Normal"/>
    <w:qFormat/>
    <w:rsid w:val="009320f9"/>
    <w:pPr>
      <w:pBdr>
        <w:lef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97" w:customStyle="1">
    <w:name w:val="xl97"/>
    <w:basedOn w:val="Normal"/>
    <w:qFormat/>
    <w:rsid w:val="009320f9"/>
    <w:pPr>
      <w:spacing w:beforeAutospacing="1" w:afterAutospacing="1"/>
    </w:pPr>
    <w:rPr>
      <w:sz w:val="23"/>
      <w:szCs w:val="23"/>
    </w:rPr>
  </w:style>
  <w:style w:type="paragraph" w:styleId="Xl98" w:customStyle="1">
    <w:name w:val="xl98"/>
    <w:basedOn w:val="Normal"/>
    <w:qFormat/>
    <w:rsid w:val="009320f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99" w:customStyle="1">
    <w:name w:val="xl99"/>
    <w:basedOn w:val="Normal"/>
    <w:qFormat/>
    <w:rsid w:val="009320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00" w:customStyle="1">
    <w:name w:val="xl100"/>
    <w:basedOn w:val="Normal"/>
    <w:qFormat/>
    <w:rsid w:val="009320f9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01" w:customStyle="1">
    <w:name w:val="xl101"/>
    <w:basedOn w:val="Normal"/>
    <w:qFormat/>
    <w:rsid w:val="009320f9"/>
    <w:pPr>
      <w:pBdr>
        <w:top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02" w:customStyle="1">
    <w:name w:val="xl102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03" w:customStyle="1">
    <w:name w:val="xl103"/>
    <w:basedOn w:val="Normal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04" w:customStyle="1">
    <w:name w:val="xl104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05" w:customStyle="1">
    <w:name w:val="xl105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06" w:customStyle="1">
    <w:name w:val="xl106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07" w:customStyle="1">
    <w:name w:val="xl107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08" w:customStyle="1">
    <w:name w:val="xl108"/>
    <w:basedOn w:val="Normal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09" w:customStyle="1">
    <w:name w:val="xl109"/>
    <w:basedOn w:val="Normal"/>
    <w:qFormat/>
    <w:rsid w:val="009320f9"/>
    <w:pPr>
      <w:pBdr>
        <w:top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styleId="Xl110" w:customStyle="1">
    <w:name w:val="xl110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styleId="Xl111" w:customStyle="1">
    <w:name w:val="xl111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12" w:customStyle="1">
    <w:name w:val="xl112"/>
    <w:basedOn w:val="Normal"/>
    <w:qFormat/>
    <w:rsid w:val="009320f9"/>
    <w:pPr>
      <w:spacing w:beforeAutospacing="1" w:afterAutospacing="1"/>
      <w:textAlignment w:val="top"/>
    </w:pPr>
    <w:rPr>
      <w:sz w:val="23"/>
      <w:szCs w:val="23"/>
    </w:rPr>
  </w:style>
  <w:style w:type="paragraph" w:styleId="Xl113" w:customStyle="1">
    <w:name w:val="xl113"/>
    <w:basedOn w:val="Normal"/>
    <w:qFormat/>
    <w:rsid w:val="009320f9"/>
    <w:pPr>
      <w:pBdr>
        <w:right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styleId="Xl114" w:customStyle="1">
    <w:name w:val="xl114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15" w:customStyle="1">
    <w:name w:val="xl115"/>
    <w:basedOn w:val="Normal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16" w:customStyle="1">
    <w:name w:val="xl116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17" w:customStyle="1">
    <w:name w:val="xl117"/>
    <w:basedOn w:val="Normal"/>
    <w:qFormat/>
    <w:rsid w:val="009320f9"/>
    <w:pPr>
      <w:spacing w:beforeAutospacing="1" w:afterAutospacing="1"/>
    </w:pPr>
    <w:rPr>
      <w:sz w:val="23"/>
      <w:szCs w:val="23"/>
    </w:rPr>
  </w:style>
  <w:style w:type="paragraph" w:styleId="Xl118" w:customStyle="1">
    <w:name w:val="xl118"/>
    <w:basedOn w:val="Normal"/>
    <w:qFormat/>
    <w:rsid w:val="009320f9"/>
    <w:pPr>
      <w:pBdr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19" w:customStyle="1">
    <w:name w:val="xl119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20" w:customStyle="1">
    <w:name w:val="xl120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styleId="Xl121" w:customStyle="1">
    <w:name w:val="xl121"/>
    <w:basedOn w:val="Normal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styleId="Xl122" w:customStyle="1">
    <w:name w:val="xl122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styleId="Xl123" w:customStyle="1">
    <w:name w:val="xl123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styleId="Xl124" w:customStyle="1">
    <w:name w:val="xl124"/>
    <w:basedOn w:val="Normal"/>
    <w:qFormat/>
    <w:rsid w:val="009320f9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25" w:customStyle="1">
    <w:name w:val="xl125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26" w:customStyle="1">
    <w:name w:val="xl126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127" w:customStyle="1">
    <w:name w:val="xl127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128" w:customStyle="1">
    <w:name w:val="xl128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29" w:customStyle="1">
    <w:name w:val="xl129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30" w:customStyle="1">
    <w:name w:val="xl130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31" w:customStyle="1">
    <w:name w:val="xl131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132" w:customStyle="1">
    <w:name w:val="xl132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33" w:customStyle="1">
    <w:name w:val="xl133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34" w:customStyle="1">
    <w:name w:val="xl134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135" w:customStyle="1">
    <w:name w:val="xl135"/>
    <w:basedOn w:val="Normal"/>
    <w:qFormat/>
    <w:rsid w:val="009320f9"/>
    <w:pPr>
      <w:pBdr>
        <w:top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36" w:customStyle="1">
    <w:name w:val="xl136"/>
    <w:basedOn w:val="Normal"/>
    <w:qFormat/>
    <w:rsid w:val="009320f9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styleId="Xl137" w:customStyle="1">
    <w:name w:val="xl137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38" w:customStyle="1">
    <w:name w:val="xl138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39" w:customStyle="1">
    <w:name w:val="xl139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40" w:customStyle="1">
    <w:name w:val="xl140"/>
    <w:basedOn w:val="Normal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41" w:customStyle="1">
    <w:name w:val="xl141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42" w:customStyle="1">
    <w:name w:val="xl142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43" w:customStyle="1">
    <w:name w:val="xl143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44" w:customStyle="1">
    <w:name w:val="xl144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45" w:customStyle="1">
    <w:name w:val="xl145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46" w:customStyle="1">
    <w:name w:val="xl146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47" w:customStyle="1">
    <w:name w:val="xl147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48" w:customStyle="1">
    <w:name w:val="xl148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49" w:customStyle="1">
    <w:name w:val="xl149"/>
    <w:basedOn w:val="Normal"/>
    <w:qFormat/>
    <w:rsid w:val="009320f9"/>
    <w:pPr>
      <w:spacing w:beforeAutospacing="1" w:afterAutospacing="1"/>
    </w:pPr>
    <w:rPr>
      <w:sz w:val="23"/>
      <w:szCs w:val="23"/>
    </w:rPr>
  </w:style>
  <w:style w:type="paragraph" w:styleId="Xl150" w:customStyle="1">
    <w:name w:val="xl150"/>
    <w:basedOn w:val="Normal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styleId="Xl151" w:customStyle="1">
    <w:name w:val="xl151"/>
    <w:basedOn w:val="Normal"/>
    <w:qFormat/>
    <w:rsid w:val="009320f9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52" w:customStyle="1">
    <w:name w:val="xl152"/>
    <w:basedOn w:val="Normal"/>
    <w:qFormat/>
    <w:rsid w:val="009320f9"/>
    <w:pPr>
      <w:pBdr>
        <w:top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53" w:customStyle="1">
    <w:name w:val="xl153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54" w:customStyle="1">
    <w:name w:val="xl154"/>
    <w:basedOn w:val="Normal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55" w:customStyle="1">
    <w:name w:val="xl155"/>
    <w:basedOn w:val="Normal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56" w:customStyle="1">
    <w:name w:val="xl156"/>
    <w:basedOn w:val="Normal"/>
    <w:qFormat/>
    <w:rsid w:val="009320f9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57" w:customStyle="1">
    <w:name w:val="xl157"/>
    <w:basedOn w:val="Normal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58" w:customStyle="1">
    <w:name w:val="xl158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59" w:customStyle="1">
    <w:name w:val="xl159"/>
    <w:basedOn w:val="Normal"/>
    <w:qFormat/>
    <w:rsid w:val="009320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60" w:customStyle="1">
    <w:name w:val="xl160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1" w:customStyle="1">
    <w:name w:val="xl161"/>
    <w:basedOn w:val="Normal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2" w:customStyle="1">
    <w:name w:val="xl162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3" w:customStyle="1">
    <w:name w:val="xl163"/>
    <w:basedOn w:val="Normal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styleId="Xl164" w:customStyle="1">
    <w:name w:val="xl164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5" w:customStyle="1">
    <w:name w:val="xl165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6" w:customStyle="1">
    <w:name w:val="xl166"/>
    <w:basedOn w:val="Normal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7" w:customStyle="1">
    <w:name w:val="xl167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68" w:customStyle="1">
    <w:name w:val="xl168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69" w:customStyle="1">
    <w:name w:val="xl169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70" w:customStyle="1">
    <w:name w:val="xl170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171" w:customStyle="1">
    <w:name w:val="xl171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2" w:customStyle="1">
    <w:name w:val="xl172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3" w:customStyle="1">
    <w:name w:val="xl173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4" w:customStyle="1">
    <w:name w:val="xl174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5" w:customStyle="1">
    <w:name w:val="xl175"/>
    <w:basedOn w:val="Normal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6" w:customStyle="1">
    <w:name w:val="xl176"/>
    <w:basedOn w:val="Normal"/>
    <w:qFormat/>
    <w:rsid w:val="009320f9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77" w:customStyle="1">
    <w:name w:val="xl177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78" w:customStyle="1">
    <w:name w:val="xl178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79" w:customStyle="1">
    <w:name w:val="xl179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80" w:customStyle="1">
    <w:name w:val="xl180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81" w:customStyle="1">
    <w:name w:val="xl181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82" w:customStyle="1">
    <w:name w:val="xl182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83" w:customStyle="1">
    <w:name w:val="xl183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84" w:customStyle="1">
    <w:name w:val="xl184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85" w:customStyle="1">
    <w:name w:val="xl185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86" w:customStyle="1">
    <w:name w:val="xl186"/>
    <w:basedOn w:val="Normal"/>
    <w:qFormat/>
    <w:rsid w:val="009320f9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87" w:customStyle="1">
    <w:name w:val="xl187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88" w:customStyle="1">
    <w:name w:val="xl188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89" w:customStyle="1">
    <w:name w:val="xl189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190" w:customStyle="1">
    <w:name w:val="xl190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191" w:customStyle="1">
    <w:name w:val="xl191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2" w:customStyle="1">
    <w:name w:val="xl192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3" w:customStyle="1">
    <w:name w:val="xl193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4" w:customStyle="1">
    <w:name w:val="xl194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195" w:customStyle="1">
    <w:name w:val="xl195"/>
    <w:basedOn w:val="Normal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6" w:customStyle="1">
    <w:name w:val="xl196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7" w:customStyle="1">
    <w:name w:val="xl197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styleId="Xl198" w:customStyle="1">
    <w:name w:val="xl198"/>
    <w:basedOn w:val="Normal"/>
    <w:qFormat/>
    <w:rsid w:val="009320f9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199" w:customStyle="1">
    <w:name w:val="xl199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0" w:customStyle="1">
    <w:name w:val="xl200"/>
    <w:basedOn w:val="Normal"/>
    <w:qFormat/>
    <w:rsid w:val="009320f9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1" w:customStyle="1">
    <w:name w:val="xl201"/>
    <w:basedOn w:val="Normal"/>
    <w:qFormat/>
    <w:rsid w:val="009320f9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2" w:customStyle="1">
    <w:name w:val="xl202"/>
    <w:basedOn w:val="Normal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3" w:customStyle="1">
    <w:name w:val="xl203"/>
    <w:basedOn w:val="Normal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4" w:customStyle="1">
    <w:name w:val="xl204"/>
    <w:basedOn w:val="Normal"/>
    <w:qFormat/>
    <w:rsid w:val="009320f9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5" w:customStyle="1">
    <w:name w:val="xl205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6" w:customStyle="1">
    <w:name w:val="xl206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07" w:customStyle="1">
    <w:name w:val="xl207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08" w:customStyle="1">
    <w:name w:val="xl208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09" w:customStyle="1">
    <w:name w:val="xl209"/>
    <w:basedOn w:val="Normal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10" w:customStyle="1">
    <w:name w:val="xl210"/>
    <w:basedOn w:val="Normal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11" w:customStyle="1">
    <w:name w:val="xl211"/>
    <w:basedOn w:val="Normal"/>
    <w:qFormat/>
    <w:rsid w:val="009320f9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12" w:customStyle="1">
    <w:name w:val="xl212"/>
    <w:basedOn w:val="Normal"/>
    <w:qFormat/>
    <w:rsid w:val="009320f9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13" w:customStyle="1">
    <w:name w:val="xl213"/>
    <w:basedOn w:val="Normal"/>
    <w:qFormat/>
    <w:rsid w:val="009320f9"/>
    <w:pPr>
      <w:pBdr>
        <w:top w:val="single" w:sz="4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14" w:customStyle="1">
    <w:name w:val="xl214"/>
    <w:basedOn w:val="Normal"/>
    <w:qFormat/>
    <w:rsid w:val="009320f9"/>
    <w:pPr>
      <w:pBdr>
        <w:top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15" w:customStyle="1">
    <w:name w:val="xl215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16" w:customStyle="1">
    <w:name w:val="xl216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17" w:customStyle="1">
    <w:name w:val="xl217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18" w:customStyle="1">
    <w:name w:val="xl218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19" w:customStyle="1">
    <w:name w:val="xl219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220" w:customStyle="1">
    <w:name w:val="xl220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21" w:customStyle="1">
    <w:name w:val="xl221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22" w:customStyle="1">
    <w:name w:val="xl222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23" w:customStyle="1">
    <w:name w:val="xl223"/>
    <w:basedOn w:val="Normal"/>
    <w:qFormat/>
    <w:rsid w:val="009320f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4" w:customStyle="1">
    <w:name w:val="xl224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5" w:customStyle="1">
    <w:name w:val="xl225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6" w:customStyle="1">
    <w:name w:val="xl226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7" w:customStyle="1">
    <w:name w:val="xl227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8" w:customStyle="1">
    <w:name w:val="xl228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29" w:customStyle="1">
    <w:name w:val="xl229"/>
    <w:basedOn w:val="Normal"/>
    <w:qFormat/>
    <w:rsid w:val="009320f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30" w:customStyle="1">
    <w:name w:val="xl230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231" w:customStyle="1">
    <w:name w:val="xl231"/>
    <w:basedOn w:val="Normal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232" w:customStyle="1">
    <w:name w:val="xl232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33" w:customStyle="1">
    <w:name w:val="xl233"/>
    <w:basedOn w:val="Normal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34" w:customStyle="1">
    <w:name w:val="xl234"/>
    <w:basedOn w:val="Normal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35" w:customStyle="1">
    <w:name w:val="xl235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36" w:customStyle="1">
    <w:name w:val="xl236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37" w:customStyle="1">
    <w:name w:val="xl237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38" w:customStyle="1">
    <w:name w:val="xl238"/>
    <w:basedOn w:val="Normal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39" w:customStyle="1">
    <w:name w:val="xl239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40" w:customStyle="1">
    <w:name w:val="xl240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41" w:customStyle="1">
    <w:name w:val="xl241"/>
    <w:basedOn w:val="Normal"/>
    <w:qFormat/>
    <w:rsid w:val="009320f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42" w:customStyle="1">
    <w:name w:val="xl242"/>
    <w:basedOn w:val="Normal"/>
    <w:qFormat/>
    <w:rsid w:val="009320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43" w:customStyle="1">
    <w:name w:val="xl243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44" w:customStyle="1">
    <w:name w:val="xl244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45" w:customStyle="1">
    <w:name w:val="xl245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46" w:customStyle="1">
    <w:name w:val="xl246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47" w:customStyle="1">
    <w:name w:val="xl247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48" w:customStyle="1">
    <w:name w:val="xl248"/>
    <w:basedOn w:val="Normal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49" w:customStyle="1">
    <w:name w:val="xl249"/>
    <w:basedOn w:val="Normal"/>
    <w:qFormat/>
    <w:rsid w:val="009320f9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50" w:customStyle="1">
    <w:name w:val="xl250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51" w:customStyle="1">
    <w:name w:val="xl251"/>
    <w:basedOn w:val="Normal"/>
    <w:qFormat/>
    <w:rsid w:val="009320f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52" w:customStyle="1">
    <w:name w:val="xl252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styleId="Xl253" w:customStyle="1">
    <w:name w:val="xl253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54" w:customStyle="1">
    <w:name w:val="xl254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55" w:customStyle="1">
    <w:name w:val="xl255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56" w:customStyle="1">
    <w:name w:val="xl256"/>
    <w:basedOn w:val="Normal"/>
    <w:qFormat/>
    <w:rsid w:val="009320f9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57" w:customStyle="1">
    <w:name w:val="xl257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58" w:customStyle="1">
    <w:name w:val="xl258"/>
    <w:basedOn w:val="Normal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59" w:customStyle="1">
    <w:name w:val="xl259"/>
    <w:basedOn w:val="Normal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60" w:customStyle="1">
    <w:name w:val="xl260"/>
    <w:basedOn w:val="Normal"/>
    <w:qFormat/>
    <w:rsid w:val="009320f9"/>
    <w:pPr>
      <w:pBdr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261" w:customStyle="1">
    <w:name w:val="xl261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styleId="Xl262" w:customStyle="1">
    <w:name w:val="xl262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3" w:customStyle="1">
    <w:name w:val="xl263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4" w:customStyle="1">
    <w:name w:val="xl264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65" w:customStyle="1">
    <w:name w:val="xl265"/>
    <w:basedOn w:val="Normal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6" w:customStyle="1">
    <w:name w:val="xl266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7" w:customStyle="1">
    <w:name w:val="xl267"/>
    <w:basedOn w:val="Normal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8" w:customStyle="1">
    <w:name w:val="xl268"/>
    <w:basedOn w:val="Normal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69" w:customStyle="1">
    <w:name w:val="xl269"/>
    <w:basedOn w:val="Normal"/>
    <w:qFormat/>
    <w:rsid w:val="009320f9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70" w:customStyle="1">
    <w:name w:val="xl270"/>
    <w:basedOn w:val="Normal"/>
    <w:qFormat/>
    <w:rsid w:val="009320f9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71" w:customStyle="1">
    <w:name w:val="xl271"/>
    <w:basedOn w:val="Normal"/>
    <w:qFormat/>
    <w:rsid w:val="009320f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72" w:customStyle="1">
    <w:name w:val="xl272"/>
    <w:basedOn w:val="Normal"/>
    <w:qFormat/>
    <w:rsid w:val="009320f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73" w:customStyle="1">
    <w:name w:val="xl273"/>
    <w:basedOn w:val="Normal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74" w:customStyle="1">
    <w:name w:val="xl274"/>
    <w:basedOn w:val="Normal"/>
    <w:qFormat/>
    <w:rsid w:val="009320f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75" w:customStyle="1">
    <w:name w:val="xl275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76" w:customStyle="1">
    <w:name w:val="xl276"/>
    <w:basedOn w:val="Normal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77" w:customStyle="1">
    <w:name w:val="xl277"/>
    <w:basedOn w:val="Normal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78" w:customStyle="1">
    <w:name w:val="xl278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79" w:customStyle="1">
    <w:name w:val="xl279"/>
    <w:basedOn w:val="Normal"/>
    <w:qFormat/>
    <w:rsid w:val="009320f9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80" w:customStyle="1">
    <w:name w:val="xl280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styleId="Xl281" w:customStyle="1">
    <w:name w:val="xl281"/>
    <w:basedOn w:val="Normal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2" w:customStyle="1">
    <w:name w:val="xl282"/>
    <w:basedOn w:val="Normal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3" w:customStyle="1">
    <w:name w:val="xl283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4" w:customStyle="1">
    <w:name w:val="xl284"/>
    <w:basedOn w:val="Normal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5" w:customStyle="1">
    <w:name w:val="xl285"/>
    <w:basedOn w:val="Normal"/>
    <w:qFormat/>
    <w:rsid w:val="009320f9"/>
    <w:pPr>
      <w:pBdr>
        <w:top w:val="single" w:sz="8" w:space="0" w:color="000000"/>
      </w:pBdr>
      <w:spacing w:beforeAutospacing="1" w:afterAutospacing="1"/>
      <w:jc w:val="right"/>
      <w:textAlignment w:val="center"/>
    </w:pPr>
    <w:rPr>
      <w:sz w:val="23"/>
      <w:szCs w:val="23"/>
    </w:rPr>
  </w:style>
  <w:style w:type="paragraph" w:styleId="Xl286" w:customStyle="1">
    <w:name w:val="xl286"/>
    <w:basedOn w:val="Normal"/>
    <w:qFormat/>
    <w:rsid w:val="009320f9"/>
    <w:pPr>
      <w:pBdr>
        <w:bottom w:val="single" w:sz="8" w:space="0" w:color="000000"/>
      </w:pBdr>
      <w:spacing w:beforeAutospacing="1" w:afterAutospacing="1"/>
      <w:jc w:val="right"/>
      <w:textAlignment w:val="center"/>
    </w:pPr>
    <w:rPr>
      <w:sz w:val="23"/>
      <w:szCs w:val="23"/>
    </w:rPr>
  </w:style>
  <w:style w:type="paragraph" w:styleId="Xl287" w:customStyle="1">
    <w:name w:val="xl287"/>
    <w:basedOn w:val="Normal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8" w:customStyle="1">
    <w:name w:val="xl288"/>
    <w:basedOn w:val="Normal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89" w:customStyle="1">
    <w:name w:val="xl289"/>
    <w:basedOn w:val="Normal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90" w:customStyle="1">
    <w:name w:val="xl290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91" w:customStyle="1">
    <w:name w:val="xl291"/>
    <w:basedOn w:val="Normal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92" w:customStyle="1">
    <w:name w:val="xl292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93" w:customStyle="1">
    <w:name w:val="xl293"/>
    <w:basedOn w:val="Normal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94" w:customStyle="1">
    <w:name w:val="xl294"/>
    <w:basedOn w:val="Normal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styleId="Xl295" w:customStyle="1">
    <w:name w:val="xl295"/>
    <w:basedOn w:val="Normal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296" w:customStyle="1">
    <w:name w:val="xl296"/>
    <w:basedOn w:val="Normal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styleId="Xl297" w:customStyle="1">
    <w:name w:val="xl297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styleId="Xl298" w:customStyle="1">
    <w:name w:val="xl298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styleId="Xl299" w:customStyle="1">
    <w:name w:val="xl299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styleId="Xl300" w:customStyle="1">
    <w:name w:val="xl300"/>
    <w:basedOn w:val="Normal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1" w:customStyle="1">
    <w:name w:val="xl301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2" w:customStyle="1">
    <w:name w:val="xl302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3" w:customStyle="1">
    <w:name w:val="xl303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4" w:customStyle="1">
    <w:name w:val="xl304"/>
    <w:basedOn w:val="Normal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5" w:customStyle="1">
    <w:name w:val="xl305"/>
    <w:basedOn w:val="Normal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06" w:customStyle="1">
    <w:name w:val="xl306"/>
    <w:basedOn w:val="Normal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styleId="Xl307" w:customStyle="1">
    <w:name w:val="xl307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styleId="Xl308" w:customStyle="1">
    <w:name w:val="xl308"/>
    <w:basedOn w:val="Normal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styleId="Xl309" w:customStyle="1">
    <w:name w:val="xl309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10" w:customStyle="1">
    <w:name w:val="xl310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11" w:customStyle="1">
    <w:name w:val="xl311"/>
    <w:basedOn w:val="Normal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Xl312" w:customStyle="1">
    <w:name w:val="xl312"/>
    <w:basedOn w:val="Normal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styleId="23" w:customStyle="1">
    <w:name w:val="Основной текст (2)"/>
    <w:basedOn w:val="Normal"/>
    <w:link w:val="21"/>
    <w:uiPriority w:val="99"/>
    <w:qFormat/>
    <w:rsid w:val="009320f9"/>
    <w:pPr>
      <w:widowControl w:val="false"/>
      <w:shd w:val="clear" w:color="auto" w:fill="FFFFFF"/>
      <w:spacing w:lineRule="atLeast" w:line="240" w:before="0" w:after="240"/>
      <w:jc w:val="center"/>
    </w:pPr>
    <w:rPr>
      <w:rFonts w:eastAsia="Calibri" w:eastAsiaTheme="minorHAnsi"/>
      <w:b/>
      <w:bCs/>
      <w:sz w:val="26"/>
      <w:szCs w:val="26"/>
      <w:lang w:eastAsia="en-US"/>
    </w:rPr>
  </w:style>
  <w:style w:type="paragraph" w:styleId="Revision">
    <w:name w:val="Revision"/>
    <w:uiPriority w:val="99"/>
    <w:semiHidden/>
    <w:qFormat/>
    <w:rsid w:val="009320f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l:37065748.100 " TargetMode="External"/><Relationship Id="rId3" Type="http://schemas.openxmlformats.org/officeDocument/2006/relationships/hyperlink" Target="jl:31673762.2.1004465069_0" TargetMode="Externa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header" Target="header2.xml"/><Relationship Id="rId10" Type="http://schemas.openxmlformats.org/officeDocument/2006/relationships/hyperlink" Target="jl:37065748.100 " TargetMode="External"/><Relationship Id="rId11" Type="http://schemas.openxmlformats.org/officeDocument/2006/relationships/hyperlink" Target="jl:31673762.1100 " TargetMode="Externa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25</Pages>
  <Words>6407</Words>
  <Characters>43977</Characters>
  <CharactersWithSpaces>50248</CharactersWithSpaces>
  <Paragraphs>495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2019-12-26T11:07:00Z</dcterms:created>
  <dc:creator>Дәулетберді Гаухар</dc:creator>
  <dc:description/>
  <dc:language>ru-RU</dc:language>
  <cp:lastModifiedBy>Тлеубердиева Лейла Талгатбековна</cp:lastModifiedBy>
  <dcterms:modified xsi:type="dcterms:W3CDTF">2019-12-26T11:07:00Z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